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200 vom 4. Dezember 2009</w:t>
      </w:r>
    </w:p>
    <w:p>
      <w:r>
        <w:t>VD Tribunal cantonal, 2009-12-04, FR</w:t>
      </w:r>
    </w:p>
    <w:p>
      <w:r>
        <w:rPr>
          <w:b/>
        </w:rPr>
        <w:t xml:space="preserve">Quelle: </w:t>
      </w:r>
      <w:r>
        <w:t>https://mcp.opencaselaw.ch/entscheid/vd_findinfo_HC___2010___200</w:t>
      </w:r>
    </w:p>
    <w:p>
      <w:r>
        <w:t>FR: VD_FINDINFO HC / 2010 / 200 du 4 décembre 2009</w:t>
      </w:r>
    </w:p>
    <w:p>
      <w:r>
        <w:t>IT: VD_FINDINFO HC / 2010 / 200 del 4 dicembre 2009</w:t>
      </w:r>
    </w:p>
    <w:p>
      <w:pPr>
        <w:pStyle w:val="Heading2"/>
      </w:pPr>
      <w:r>
        <w:t>Regeste</w:t>
      </w:r>
    </w:p>
    <w:p>
      <w:r>
        <w:t>QUALITÉ POUR RECOURIR | 81 let. c LJPM, 81 let. d LJPM</w:t>
      </w:r>
    </w:p>
    <w:p>
      <w:pPr>
        <w:pStyle w:val="Heading2"/>
      </w:pPr>
      <w:r>
        <w:t>Erwägungen</w:t>
      </w:r>
    </w:p>
    <w:p>
      <w:r>
        <w:rPr>
          <w:b/>
        </w:rPr>
        <w:t>E. 1</w:t>
      </w:r>
    </w:p>
    <w:p>
      <w:r>
        <w:t>Selon une jurisprudence constante, la Cour de cassation détermine la nature du recours d'après la question soulevée et les moyens invoqués, et non pas selon les termes inadéquats que le recourant a pu utiliser dans son acte de recours (Bovay, Dupuis, Monnier, Moreillon et Piguet, Procédure pénale vaudoise, Code annoté, 3 e éd., 2008, n. 3 ad art. 410 CPP; JT 1982 III 62).</w:t>
      </w:r>
    </w:p>
    <w:p>
      <w:r>
        <w:rPr>
          <w:b/>
        </w:rPr>
        <w:t>E. 2</w:t>
      </w:r>
    </w:p>
    <w:p>
      <w:r>
        <w:t>Les infraction faisant l'objet de la plainte ici en cause et dont a été libéré l'intimé sont celles de tentative et de complicité de vol (art. 22 al. 1 et 25 CP; art. 139 CP, applicables par renvoi de l'art. 1 al. 2 let. a et m DPMin). Ces infractions sont poursuivies d'office lorsque, comme en l'espèce, elles ne sont pas commises au préjudice des proches ou des familiers (art. 139 al. 1 et al. 4, a contrario, CP). Selon l'art. 81 de la loi cantonale sur la juridiction pénale des mineurs ( LJPM, RSV 312.05) , le droit de recours en réforme appartient au plaignant, seulement en ce qui concerne sa condamnation à des frais ou à des dépens, lorsqu'il s'agit d'une infraction poursuivie d'office (let. c) et à la partie civile, seulement en ce qui concerne les conclusions civiles ou sa condamnation à des frais ou à des dépens (let. d). S'il devait être considéré que le recours tend à la réforme du jugement en ce sens que l'intimé est condamné pour le vol du cycle, il serait irrecevable, attendu que le plaignant, pas plus que la partie civile, n'a qualité pour recourir sur l'action pénale (art. 81 let. c et d LJPM, précité). 3.a) Au surplus, sous l'angle de la nullité, les recourants se limitent à faire valoir que l'intimé "a enfourché (le cycle, réd.), est parti avec et ne l'a pas remis en place". Ils ne se plaignent ni de lacunes, ni de contradictions dont serait entaché l'état de fait du jugement (cf. l'art. 78 let. f LJPM). Ils ne se fondent pas davantage sur une appréciation différente des faits pour demander la condamnation de l'intimé pour vol (ibid.). Certes, un recours en nullité qui aurait – même implicitement – été motivé aurait été recevable (cf. l'art. 79 let. d et e LJPM). Il n'en reste cependant pas moins que, même interprété d'office, le recours ne comporte aucun moyen dont on pourrait déduire une conclusion en nullité. Il s'ensuit que le recours est également irrecevable s'il devait être considéré comme tendant à l'annulation du jugement. b) Par surabondance, il doit être relevé que le jugement se fonde implicitement sur les déclarations de [...], qui figurent au dossier (pièce 406). Le prénommé n'a pas vu l'intimé partir avec le vélo propriété de la recourante. Le dossier ne comporte aucun élément probant en défaveur de l'accusé. C'est dès lors à juste titre que l'intéressé a, au bénéfice du doute, été libéré des chefs d'accusation de tentative et de complicité de vol.</w:t>
      </w:r>
    </w:p>
    <w:p>
      <w:r>
        <w:rPr>
          <w:b/>
        </w:rPr>
        <w:t>E. 4</w:t>
      </w:r>
    </w:p>
    <w:p>
      <w:r>
        <w:t>En conclusion, le recours doit être écarté en application de l'art. 431 al. 2 CPP (applicable par renvoi de l'art. 88 al. 1 LPJM) et le jugement confirmé. Vu l'issue du recours, les frais de deuxième instance sont mis à la charge des recourants, solidairement entre eux (art. 450 al. 1 CPP, également applicable par renvoi de l'art. 88 al. 1 LPJM).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