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191 vom 8. April 2010</w:t>
      </w:r>
    </w:p>
    <w:p>
      <w:r>
        <w:t>VD Tribunal cantonal, 2010-04-08, FR</w:t>
      </w:r>
    </w:p>
    <w:p>
      <w:r>
        <w:rPr>
          <w:b/>
        </w:rPr>
        <w:t xml:space="preserve">Quelle: </w:t>
      </w:r>
      <w:r>
        <w:t>https://mcp.opencaselaw.ch/entscheid/vd_findinfo_HC___2010___191</w:t>
      </w:r>
    </w:p>
    <w:p>
      <w:r>
        <w:t>FR: VD_FINDINFO HC / 2010 / 191 du 8 avril 2010</w:t>
      </w:r>
    </w:p>
    <w:p>
      <w:r>
        <w:t>IT: VD_FINDINFO HC / 2010 / 191 del 8 aprile 2010</w:t>
      </w:r>
    </w:p>
    <w:p>
      <w:pPr>
        <w:pStyle w:val="Heading2"/>
      </w:pPr>
      <w:r>
        <w:t>Regeste</w:t>
      </w:r>
    </w:p>
    <w:p>
      <w:r>
        <w:t>MESURE DE CONTRAINTE{DROIT DES ÉTRANGERS} | 76 al. 1 let. b ch. 3 LEtr, 76 al. 1 let. b ch. 4 LEtr, 15 LVLEtr, 16 LVLEtr</w:t>
      </w:r>
    </w:p>
    <w:p>
      <w:pPr>
        <w:pStyle w:val="Heading2"/>
      </w:pPr>
      <w:r>
        <w:t>Erwägungen</w:t>
      </w:r>
    </w:p>
    <w:p>
      <w:r>
        <w:rPr>
          <w:b/>
        </w:rPr>
        <w:t>E. 1</w:t>
      </w:r>
    </w:p>
    <w:p>
      <w:r>
        <w:t>a) 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b) Interjeté dans le délai de dix jours de l'art. 30 al. 2 LVLEtr par le recourant, qui y a un intérêt, le recours est recevable. c) Les déterminations du SPOP, datées du 19 mars 2010 et postées le 26 mars 2010, soit hors du délai imparti (art. 31 al. 3 LVLEtr), sont irrecevables.</w:t>
      </w:r>
    </w:p>
    <w:p>
      <w:r>
        <w:rPr>
          <w:b/>
        </w:rPr>
        <w:t>E. 2</w:t>
      </w:r>
    </w:p>
    <w:p>
      <w:r>
        <w:t>Selon l'art. 16 al. 1 LVLEtr, la personne retenue doit être entendue par le juge de paix dans les 24 heures. Le juge de paix statue lors de l'audition et rend, le cas échéant, un ordre de mise en détention. Il notifie sa décision motivée par écrit dans les 96 heures. En l'espèce, le juge de paix, autorité compétente selon l'art. 17 LVLEtr, a procédé à l'audition du recourant le 8 mars 2010, jour de son interpellation; il a résumé les propos du recourant dans un procès-verbal sommaire (art. 21 al. 2 LVLEtr). La décision du juge de paix a été expédiée pour notification dans le délai légal de 96 heures. La procédure suivie a été régulière, le droit d'être entendu du recourant ayant été respecté.</w:t>
      </w:r>
    </w:p>
    <w:p>
      <w:r>
        <w:rPr>
          <w:b/>
        </w:rPr>
        <w:t>E. 3</w:t>
      </w:r>
    </w:p>
    <w:p>
      <w:r>
        <w:t>a) Selon l’art. 76 al. 1 let. b ch. 3 et 4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il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 C_206/2009, du 29 avril 2009 c. 4.1).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2C_128/2009 du 30 mars 2009, c. 3.1). b) En l'espèce, le recourant n'a pas quitté la Suisse dans les délais qui lui avaient été impartis (9 avril et 25 septembre 2009). Il a déclaré lors d'auditions par le SPOP le 26 octobre 2009 et par le juge de paix le 8 mars 2010 qu'il ne voulait pas retourner pour le moment au Kosovo. En outre, il a refusé d'embarquer dans le vol qui lui avait été réservé le 16 mars 2010 à destination de Pristina. Ce comportement démontre que le recourant n'est pas disposé à retourner dans son pays d'origine et qu'il entend se soustraire au renvoi. Les conditions de l'art. 76 al. 1 let. b ch. 3 et 4 LEtr sont dès lors réalisées. Au surplus, le principe de la proportionnalité est respecté; en effet, le renvoi paraît pouvoir être exécuté dans le délai maximal de 18 mois et le recourant est au bénéfice d'un laissez-passer. Le maintien en détention apparaît ainsi justifié en l'état (ATF 130 II 56 c. 4.1.3).</w:t>
      </w:r>
    </w:p>
    <w:p>
      <w:r>
        <w:rPr>
          <w:b/>
        </w:rPr>
        <w:t>E. 4</w:t>
      </w:r>
    </w:p>
    <w:p>
      <w:r>
        <w:t>Le recourant se prévaut de ses projets de mariage. La jurisprudence admet qu'à certaines conditions un futur mariage peut rendre inadmissible la détention en vue du renvoi. Ce n'est toutefois que dans des cas particuliers que le Tribunal fédéral a jugé qu'un projet de mariage pouvait rendre la détention contraire au principe de la proportionnalité, notamment lorsque les papiers nécessaires à la célébration du mariage sont réunis, qu'une date a été arrêtée pour la célébration du mariage et qu'on peut compter sur la délivrance d'une autorisation de séjour à bref délai (TF 2C_575/2008 du 1 er septembre 2008, c. 5.5 et réf. citées). Ces conditions ne sont pas remplies en l'espèce, dès lors que le recourant n'a rien entrepris du tout; on doit dès lors exiger du recourant qu'il poursuive depuis le Kosovo la préparation de son mariage et qu'il entame sur place la demande de permis y afférente.</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w:t>
      </w:r>
    </w:p>
    <w:p>
      <w:r>
        <w:rPr>
          <w:b/>
        </w:rPr>
        <w:t>E. 8</w:t>
      </w:r>
    </w:p>
    <w:p>
      <w:r>
        <w:t>avril 2010 Le dispositif de l'arrêt qui précède est communiqué par écrit aux intéressés. La greffière : Du L'arrêt qui précède, dont la rédaction a été approuvée à huis clos, est notifié en expédition complète, par l'envoi de photocopies, à : ‑ Me Jean-Pierre Bloch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