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176 vom 12. Januar 2010</w:t>
      </w:r>
    </w:p>
    <w:p>
      <w:r>
        <w:t>VD Tribunal cantonal, 2010-01-12, FR</w:t>
      </w:r>
    </w:p>
    <w:p>
      <w:r>
        <w:rPr>
          <w:b/>
        </w:rPr>
        <w:t xml:space="preserve">Quelle: </w:t>
      </w:r>
      <w:r>
        <w:t>https://mcp.opencaselaw.ch/entscheid/vd_findinfo_HC___2010___176</w:t>
      </w:r>
    </w:p>
    <w:p>
      <w:r>
        <w:t>FR: VD_FINDINFO HC / 2010 / 176 du 12 janvier 2010</w:t>
      </w:r>
    </w:p>
    <w:p>
      <w:r>
        <w:t>IT: VD_FINDINFO HC / 2010 / 176 del 12 gennaio 2010</w:t>
      </w:r>
    </w:p>
    <w:p>
      <w:pPr>
        <w:pStyle w:val="Heading2"/>
      </w:pPr>
      <w:r>
        <w:t>Regeste</w:t>
      </w:r>
    </w:p>
    <w:p>
      <w:r>
        <w:t>CONTRAT DE TRAVAIL, RÉSILIATION IMMÉDIATE, JUSTE MOTIF, APPRÉCIATION DES PREUVES, INTERDICTION DE L'ARBITRAIRE | 4 CC, 337 al. 2 CO, 444 CPC, 445 CPC, 451 CPC, 465 al. 1 CPC, 46 al. 1 LJT</w:t>
      </w:r>
    </w:p>
    <w:p>
      <w:pPr>
        <w:pStyle w:val="Heading2"/>
      </w:pPr>
      <w:r>
        <w:t>Erwägungen</w:t>
      </w:r>
    </w:p>
    <w:p>
      <w:r>
        <w:rPr>
          <w:b/>
        </w:rPr>
        <w:t>E. 1</w:t>
      </w:r>
    </w:p>
    <w:p>
      <w:r>
        <w:t>a) Le litige qui divise les parties est un conflit du travail. Il est régi par l'art. 343 CO et la LJT (loi du 17 mai 1999 sur la juridiction du travail; RSV 173.61). Il relève de la compétence du tribunal de prud'hommes, la valeur litigieuse n'excédant pas 30'000 fr. (art. 2 al. 1 let. a LJT). L'art. 46 al. 1 LJT ouvre la voie des recours en nullité et en réforme au Tribunal cantonal contre les jugements rendus par un tribunal de prud'hommes, selon les art. 444, 445 et 451 CPC (Code de procédure civile du 14 décembre 1966; RSV 270.11). Sous réserve des art. 47 à 52 LJT, les règles ordinaires de la procédure civile contentieuse en matière de recours contre les jugements des tribunaux d'arrondissement et des présidents rendus en procédure accélérée ou sommaire sont applicables (art. 46 al. 2 LJT). En l'espèce, déposé en temps utile (art. 47 LJT) et satisfaisant aux exigences de forme de l'art. 48 LJT, le recours est formellement recevable. b) Il convient toutefois d'examiner la recevabilité des conclusions prises au regard de leur formulation particulière en l'espèce. A cet égard, la nature du recours doit se déterminer d'après la question soulevée et les moyens invoqués par le recourant, non d'après les termes inadéquats utilisés par lui (Poudret/Haldy/Tappy, Procédure civile vaudoise, 3 ème éd., Lausanne 2002, n. 3 ad art. 461 CPC, p. 716). Ainsi, tant en nullité qu'en réforme, la recourante conclut, sous ch. 1, à ce que "La demande est admise". Cette formulation, impropre, ne doit pas être comprise au pied de la lettre, mais peut être interprétée dans un sens favorable à la recourante, à savoir que cette dernière conclut à ce que sa "demande", autrement dit son recours, est admis(e). Interpréter autrement cette conclusion n'aurait pas de sens. Ensuite, tant en nullité qu'en réforme également, la recourante conclut, sous ch. 3 respectivement ch. 5, que "La défenderesse est condamnée aux frais de procédure et de jugement ainsi qu'aux dépens". Même s'il s'agit là d'une inadvertance (dont l'intéressée aurait pu requérir la correction, ce qu'elle n'a pas fait), la cour de céans est liée par cette formulation, en vertu de la règle générale de l'art. 3 CPC. Quant aux conclusions prises en réforme sous ch. 2 à 4, elles sont formulées sous forme de conclusions constatatoires. Celle présentée sous ch. 3 est d'ailleurs reprise des conclusions présentées dans la détermination du 6 avril 2009 déposée par la défenderesse devant l'autorité de première instance (constatation de la validité du licenciement). De telles conclusions ne sont en principe pas recevables, dans la mesure où le jugement attaqué est un jugement condamnatoire et où l'admission d'une telle conclusion ne serait pas de nature à modifier le dispositif du jugement dans le sens du rejet des conclusions de la demande. Il y a cependant lieu, sous peine de formalisme excessif, de tenir compte de la conclusion 4 du recours dans le sens d'une conclusion libératoire équivalant matériellement à la conclusion 1 de la détermination de première instance susmentionnée (dont la teneur était : "La demande de Monsieur C.________ est rejetée").</w:t>
      </w:r>
    </w:p>
    <w:p>
      <w:r>
        <w:rPr>
          <w:b/>
        </w:rPr>
        <w:t>E. 2</w:t>
      </w:r>
    </w:p>
    <w:p>
      <w:r>
        <w:t>En nullité, la recourante se plaint d'une appréciation arbitraire des preuves. Compte tenu du caractère subsidiaire du recours en nullité, de tels griefs ne seraient recevables en nullité que si le vice invoqué ne pouvait être corrigé dans le cadre du recours en réforme (Poudret/Haldy/Tappy, op. cit., n. 14 ad art. 444 CPC, p. 655). En l'occurrence, la cour de céans peut revoir librement l'application du droit de procédure et de fond ainsi que l'établissement des faits et l'appréciation des preuves dans le cadre du recours en réforme (art. 452 al. 2 CPC). Le recours en nullité est partant irrecevable.</w:t>
      </w:r>
    </w:p>
    <w:p>
      <w:r>
        <w:rPr>
          <w:b/>
        </w:rPr>
        <w:t>E. 3</w:t>
      </w:r>
    </w:p>
    <w:p>
      <w:r>
        <w:t>En vertu de l'art. 452 al. 2 CPC, applicable par renvoi de l'art. 46 al. 2 LJT, le Tribunal cantonal, saisi d'un recours en réforme contre un jugement d'un tribunal de prud'hommes, revoit la cause en fait et en droit. Il peut, en vertu de l'art. 452 al. 1ter et 2 CPC, corriger ou compléter l'état de fait sur la base du dossier. Les parties ne peuvent articuler des faits nouveaux, sous réserve de ceux qui résultent du dossier et qui auraient dû être retenus en première instance ou de ceux qui peuvent résulter, cas échéant, d'une instruction complémentaire au sens de l'art. 456a CPC (JT 2003 III 3; 2001 III 128).</w:t>
      </w:r>
    </w:p>
    <w:p>
      <w:r>
        <w:rPr>
          <w:b/>
        </w:rPr>
        <w:t>E. 4</w:t>
      </w:r>
    </w:p>
    <w:p>
      <w:r>
        <w:t>La recourante se plaint de l'établissement des faits sur trois points. Tout d'abord, elle affirme que les premiers juges auraient méconnu les avertissements dont l'intimé avait fait l'objet en janvier et février 2008. Or, selon elle, tous les avertissements oraux donnés par ses représentants D.________ et F.________ à l'intimé ont toujours été très clairs et ce dernier ne pouvait que comprendre qu'en cas de récidive, il risquait de se faire renvoyer. Ensuite, la recourante affirme que les premiers juges auraient arbitrairement considéré qu'elle avait échoué dans la preuve du fait que l'intimé avait négligé de tenter de l'avertir de son absence le samedi 28 février 2009. Enfin, la recourante fait grief aux premiers juges d'avoir retenu que le licenciement immédiat avait été notifié tardivement à l'intimé alors qu'il paraît difficile voire impossible d'agir plus rapidement qu'elle ne l'a fait. S'agissant du premier grief, force est de constater que, contrairement à ce que soutient la recourante, les premiers juges n'ont pas méconnu l'avertissement oral donné à l'intimé au début de l'année 2008 ainsi que l'avertissement écrit daté du 25 février 2008, qui sont expressément mentionnés dans l'état de fait du jugement attaqué (cf. jugement, pp. 13-14). Toutefois, se référant au témoignage de D.________, gérant de la défenderesse, les premiers juges ont constaté que l'avertissement oral pas plus que l'avertissement écrit qui l'a suivi ne comportaient une menace de résiliation immédiate des rapports de travail en cas de récidive (cf. jugement, pp. 20-21). Cette constatation n'est contraire ni aux déclarations du gérant précité ressortant de son témoignage (telles que protocolées au procès-verbal des opérations, Annexe A), ni à la pièce 2 du bordereau de la défenderesse (copie de la lettre d'avertissement du 25 février 2008 adressée au demandeur). Pour ce qui est du deuxième grief, la recourante s'est bornée à alléguer en procédure de première instance que l'intimé avait faussement indiqué avoir cherché à joindre son employeur durant la journée du 28 février 2009, en offrant l'absence de preuve contraire (cf. allégué 15 de la détermination de la défenderesse du 6 avril 2009). Or, les premiers juges ont constaté sur ce point que le fardeau de la preuve des motifs pouvant justifier un éventuel licenciement immédiat du travailleur incombait à la défenderesse et que celle-ci avait échoué dans cette preuve (cf. jugement, p. 22). La recourante n'indique pas en quoi cette appréciation quant à l'échec de la preuve serait erronée. Au demeurant, celle-ci n'est en tous les cas pas contraire au témoignage du vendeur W.________ qui a rapporté les propos de T.________, colocataire de l'intimé (cf. procès-verbal des opérations, Annexe B). Concernant le dernier grief, les premiers juges ont constaté, en se référant au témoignage du gérant de la défenderesse, que le directeur des ressources humaines de celle-ci, F.________, avait eu connaissance de façon sûre de la situation s'agissant de l'absence du demandeur le soir du 28 février 2009. Ils se sont encore référés aux déterminations de la défenderesse pour retenir que l'associé gérant P.________ avait également eu connaissance de la situation durant le week-end du 28 février et du 1 er mars 2009. Or, quand bien même le demandeur, à son arrivée au magasin le lundi 2 mars 2009, a eu une discussion avec le gérant au sujet de son absence du samedi précédent, la défenderesse ne lui a pas signifié sur-le-champ son licenciement immédiat, le laissant travailler toute la journée ainsi que la matinée du lendemain jusque vers 13 heures, sans que cela soit justifié par des circonstances particulières. On ne voit pas en quoi une telle constatation serait critiquable. Celle-ci n'apparaît en particulier pas contraire à la lettre du demandeur du 5 mars 2009 (pièce qu'il a produite à l'appui de sa demande), dans laquelle celui-ci accuse réception de la lettre de licenciement du 2 mars précédent (pièce 3 du bordereau de la défenderesse) tout en s'étonnant du silence de son employeur durant les journées des 2 et 3 mars 2009 où il a travaillé au service de la défenderesse.</w:t>
      </w:r>
    </w:p>
    <w:p>
      <w:r>
        <w:rPr>
          <w:b/>
        </w:rPr>
        <w:t>E. 5</w:t>
      </w:r>
    </w:p>
    <w:p>
      <w:r>
        <w:t>Par ailleurs, la recourante conteste l'inexistence de justes motifs de licenciement. Après s'être référée aux principes jurisprudentiels en la matière, elle soutient que, compte tenu du comportement de l'intimé au fil des mois, elle ne pouvait plus compter sur l'intéressé et que le lien de confiance avec lui était brisé. Elle estime qu'elle pouvait donc légitimement mettre un terme aux rapports de travail avec son employé, spécialement après la "récidive" du 28 février 2009. Selon l'art. 337 al. 2 CO, sont notamment considérées comme de justes motifs toutes les circonstances qui, selon les règles de la bonne foi, ne permettent pas d'exiger de celui qui a donné le congé la continuation des rapports de travail. Constitue un juste motif au sens de cette disposition un fait propre à détruire irrémédiablement le rapport de confiance entre parties qu'impliquent les relations de travail, de telle façon que la poursuite de celles-ci ne peut plus être exigée, même pendant la durée du délai de congé. Seul un manquement particulièrement grave autorise une résiliation immédiate; s'il est moins grave, il doit être précédé d'un avertissement. La gravité de l'acte résulte du fait que le travailleur, quoique dûment averti, persiste à violer ses obligations contractuelles. La gravité, dans ce cas-là, ne résulte pas de l'acte lui-même, mais de sa réitération. Savoir s'il y a gravité suffisante dans un cas donné restera toujours une question d'appréciation (ATF 130 III 28 c. 4.1; 129 III 380 c. 2.1 et les références; 127 III 153 c. 1a, JT 2001 I 366; 127 III 310 c. 3, JT 2001 I 367; Duc/Subilia, Commentaire du contrat individuel de travail, Lausanne 1998, n. 11 et 18 ad art. 337 CO, pp. 460 et 466; Brunner/ Bühler/Waeber/Bruchez, Commentaire du contrat de travail, 3 ème éd., 2004, n. 7 et 8 ad art. 337 CO, pp. 275 ss). Le juge apprécie librement s'il existe des justes motifs. Il applique les règles du droit et de l'équité (art. 4 CC [Code civil suisse du 10 décembre 1907; RS 210]). A cet effet, il prendra en considération tous les éléments du cas particulier, notamment la position et la responsabilité du travailleur, la nature et la durée des rapports de travail, ainsi que la nature et l'importance des manquements (ATF 130 III 28 précité; 127 III 153 précité; 127 III 310 précité; 111 II 245 c. 3, JT 1986 I 2). En l'occurrence, les premiers juges ont considéré que le manquement de l'intimé le samedi 28 février 2009, à savoir une absence non justifiée, n'avait pas fait l'objet précédemment d'un avertissement spécifique de l'employeur. Bien plus, ce dernier ne s'était pas montré très strict avec les retards et/ou les absences de ses employés et avait toléré plusieurs absences injustifiées de l'intimé, ce qui pouvait conforter ce dernier dans son comportement (cf. jugement, pp. 20-21). Ils ont donc estimé, sur la base des circonstances du cas d'espèce, que le licenciement immédiat signifié au demandeur n'était pas justifié. Cette appréciation ne prête pas le flanc à la critique. Certes, le comportement de l'intimé, qui ne s'est pas présenté à son travail un samedi de grande affluence au magasin et alors que plusieurs de ses collègues n'étaient pas disponibles suite à une invitation de la société Microsoft (cf. jugement, ch. 5 p. 15), est blâmable. Toutefois, ce manquement devait d'abord faire l'objet d'un avertissement formel, avec menace de licenciement immédiat en cas de récidive (cf. Favre/Munoz/Tobler, Le contrat de travail, Code annoté de la jurisprudence fédérale et cantonale, Lausanne 2001, n. 1.13 ad art. 337 CO, p. 202, avec les références citées). Si la recourante entendait néanmoins se séparer de son employé, elle devait utiliser la voie moins incisive de la résiliation ordinaire, cela d'autant plus qu'elle a poursuivi les relations contractuelles avec lui au début de la semaine qui a suivi son absence d'un jour. Le moyen tiré d'une violation de l'art. 337 CO s'avère ainsi infondé.</w:t>
      </w:r>
    </w:p>
    <w:p>
      <w:r>
        <w:rPr>
          <w:b/>
        </w:rPr>
        <w:t>E. 6</w:t>
      </w:r>
    </w:p>
    <w:p>
      <w:r>
        <w:t>Pour le surplus, la recourante ne remet pas en cause les calculs opérés par les premiers juges pour déterminer le montant de l'indemnisation due à l'intimé (cf. jugement, c. VI pp. 24 à 26). Tant le montant brut correspondant au salaire dû jusqu'à la fin du délai de résiliation que l'indemnité fondée sur l'art. 337c al. 3 CO ont été correctement appréciés par les premiers juges et peuvent, partant, être confirmés.</w:t>
      </w:r>
    </w:p>
    <w:p>
      <w:r>
        <w:rPr>
          <w:b/>
        </w:rPr>
        <w:t>E. 7</w:t>
      </w:r>
    </w:p>
    <w:p>
      <w:r>
        <w:t>En conclusion, le recours doit être rejeté, en application de l'art. 465 al. 1 CPC, et le jugement attaqué confirmé. S'agissant d'un conflit du travail dont la valeur litigieuse ne dépasse pas 30'000 fr., le présent arrêt est rendu sans frais (art. 343 al. 2 et 3 CO, 10 al. 1 LJT,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 e président : L e greffi er : Du 12 janvier 2010 Le dispositif de l'arrêt qui précède est communiqué par écrit aux intéressés. L e greffi er : Du L'arrêt qui précède, dont la rédaction a été approuvée à huis clos, est notifié en expédition complète, par l'envoi de photocopies, à : ‑      Me Michel De Palma (pour V.________ Sàrl), ‑      Me Christian Favre (pour C.________), -      Caisse d'assurance-chômage de la Société X.________. La Chambre des recours considère que la valeur litigieuse est de 27'690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