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170 vom 9. März 2010</w:t>
      </w:r>
    </w:p>
    <w:p>
      <w:r>
        <w:t>VD Tribunal cantonal, 2010-03-09, FR</w:t>
      </w:r>
    </w:p>
    <w:p>
      <w:r>
        <w:rPr>
          <w:b/>
        </w:rPr>
        <w:t xml:space="preserve">Quelle: </w:t>
      </w:r>
      <w:r>
        <w:t>https://mcp.opencaselaw.ch/entscheid/vd_findinfo_HC___2010___170</w:t>
      </w:r>
    </w:p>
    <w:p>
      <w:r>
        <w:t>FR: VD_FINDINFO HC / 2010 / 170 du 9 mars 2010</w:t>
      </w:r>
    </w:p>
    <w:p>
      <w:r>
        <w:t>IT: VD_FINDINFO HC / 2010 / 170 del 9 marzo 2010</w:t>
      </w:r>
    </w:p>
    <w:p>
      <w:pPr>
        <w:pStyle w:val="Heading2"/>
      </w:pPr>
      <w:r>
        <w:t>Regeste</w:t>
      </w:r>
    </w:p>
    <w:p>
      <w:r>
        <w:t>OBLIGATION D'ENTRETIEN, ENFANT | 276 al. 2 CC, 277 al. 2 CC, 277 CC, 285 al. 1 CC</w:t>
      </w:r>
    </w:p>
    <w:p>
      <w:pPr>
        <w:pStyle w:val="Heading2"/>
      </w:pPr>
      <w:r>
        <w:t>Erwägungen</w:t>
      </w:r>
    </w:p>
    <w:p>
      <w:r>
        <w:rPr>
          <w:b/>
        </w:rPr>
        <w:t>E. 1</w:t>
      </w:r>
    </w:p>
    <w:p>
      <w:r>
        <w:t>L'art. 451 ch. 3 CPC ouvre la voie du recours en réforme contre un jugement principal rendu par un président de tribunal d'arrondissement comme juge unique. En l'espèce, le présent recours en réforme uniquement, après le retrait de la conclusion en nullité dans le mémoire ampliatif, est ainsi recevable.</w:t>
      </w:r>
    </w:p>
    <w:p>
      <w:r>
        <w:rPr>
          <w:b/>
        </w:rPr>
        <w:t>E. 2</w:t>
      </w:r>
    </w:p>
    <w:p>
      <w:r>
        <w:t>Saisie d'un recours en réforme contre un jugement principal rendu par un tribunal d'arrondissement ou par son président,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l'article 456a CPC (art. 452 al. 1 ter CPC). En matière de contribution d'entretien pour un enfant majeur (art. 277 al. 2 CC; Code civil du 10 décembre 1907; RS 210), la cour de céans a considéré que la maxime inquisitoire imposée par l'art. 280 al. 2 CC n'imposait pas de s'écarter des limites posées par les art. 452 al. 1 ter et 456a CPC, dite contribution ne nécessitant pas le même besoin de protection que celle due à l'enfant mineur (JT 2006 III 3 c. 1d). En l'espèce, l'état de fait du jugement est conforme aux pièces du dossier. Il convient toutefois de le compléter comme il suit : - Dans une lettre rédigée en août 1997 à l'intention de dame P.________ et de la famille de celle-ci, A.P.________ a écrit ce qui suit (pièce 4) : "Je dois vous annoncer une bien triste nouvelle : j'ai quitté la Suisse il y a quelques jours. C'est une décision que je n'ai pas prise de gaieté de cœur; bien au contraire ! J'ai essayé de faire une projection de mon avenir ainsi qu'un bilan de ma vie actuelle. dame P.________ ne m'a laissé aucune chance et s'est acharnée sur moi d'une telle manière que je ne pourrai jamais vivre décemment en restant à la portée de ses griffes. Parfois ses "explications" aux enfants me reviennent et eux, les pauvres … Pauvres victimes et aussi pauvres otages ! Ma famille et mes enfants représentaient toute ma vie, mon univers. Tout a été détruit, anéanti. Mon cœur est brisé toutes les deux semaines, je vis quatre jours par mois, lorsque enfin je peux partager ma vie avec mes enfants. Le reste du temps est misérable et sordide, sans buts et sans joies. J'avais tenté de reconstruire un petit univers pour elles, mes petites, mais à y voir de plus près ce n'est que de l'illusion. J'ai été condamné à vivre sans famille et à suer sang et eau pour la faire vivre; de mon côté je suis dans l'impossibilité de pouvoir reconstruire une vie. Pourtant j'ai essayé et j'ai été non seulement d'une grande patience, mais également très, trop, correct. J'ai choisi d'aller travailler à Berne par soucis responsable (réd.: sic) vis-à-vis de mes enfants. Mais dame P.________ a confondu le "droit" et le bon sens. Les conseils juridiques c'est bien mais il faut quand même laisser vivre les autres. dame P.________ a voulu une séparation mais, son entourage, et surtout moi, devions seuls en faire les frais; elle n'a personnellement fait aucun effort. C'est un peu facile de jeter son mari, chômeur, à la rue et de vouloir que celui-ci continue à assumer son train de vie. J'ai fait de grands sacrifices mais trop c'est trop. Je passe sur nombres de détails tels que le compte en banque pillé, mes affaires à la rue, l'entourloupe des impôts, etc … Le comble, la goutte d'eau, a été la saisie effectuée par l'Office des poursuites chez moi, au début juin; pas de quoi être fier que de vouloir pousser le juridisme jusqu'à ce point. A trop tirer sur une corde elle se casse ! Ce jour là j'ai finalement compris à qui j'avais à faire; pauvre idiot, il m'en a fallu du temps pour comprendre. J'ai enfin compris que je n'aurai jamais de répit; que jusqu'à ma mort je devrais financer le standing d'une capricieuse et paresseuse. Peu lui importait de savoir que je croule sous les ennuis de toutes sortes, éloigné de mes enfants pourtant tout proches; l'essentiel c'est qu'elle soit bien, vivant comme une princesse, travaillant à mi-temps comme si de rien n'était, la fille au pair s'occupant de toute la maison; l'essentiel c'est que le "sponsor" paye. Les enfants, une bonne excuse et, un bon placement source de rentes à vie; et Vive la vie, les copines, sorties etc … l'abruti de service a un bon job, même s'il a été réduit à la pauvreté, aux dettes et aux nombreuses poursuites. Le droit c'est le droit ! Je ne peux plus continuer à vivre dans ces conditions, à vivre avec le minimum vital, poursuivi, harcelé, isolé et, comme je n'ai aucune envie de me suicider, je pars pour recommencer à zéro sur de meilleures bases. Si dame P.________ le désire, elle peut continuer à s'acharner et user encore de tous les conseils juridiques de son merveilleux entourage. Je doute de l'effet. Elle peut aussi enfin revenir à la raison et alors une petite porte reste ouverte. Pour cela elle connaît le nom de mon avocat. (…)"</w:t>
      </w:r>
    </w:p>
    <w:p>
      <w:r>
        <w:rPr>
          <w:b/>
        </w:rPr>
        <w:t>E. 3</w:t>
      </w:r>
    </w:p>
    <w:p>
      <w:r>
        <w:t>Dans son mémoire, le recourant critique l'interprétation donnée par le premier juge à la lettre qu'il avait rédigée au mois d'août 1997 et la déduction qu'il en a tirée selon laquelle la volonté du recourant était de se soustraire à ses obligations. A cet égard, il faut relever qu'on ne saurait d'emblée déduire de ce courrier une volonté explicite du recourant de se soustraire à ses obligations. Quoi qu'il en soit, cet aspect n'est pas déterminant sur le sort du procès.</w:t>
      </w:r>
    </w:p>
    <w:p>
      <w:r>
        <w:rPr>
          <w:b/>
        </w:rPr>
        <w:t>E. 4</w:t>
      </w:r>
    </w:p>
    <w:p>
      <w:r>
        <w:t>a) Les père et mère doivent pourvoir à l'entretien de l'enfant et assumer notamment les frais de sa formation (art. 276 al. 1 CC); l'entretien est assuré par les soins et l'éducation ou, lorsque l'enfant n'est pas sous la garde de ses père et mère, par des prestations pécuniaires (art. 276 al. 2 CC). Si, à sa majorité (cf. art. 14 CC),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Ils sont déliés de leur obligation dans la mesure où l'on peut attendre de l'enfant qu'il subvienne à son entretien par le produit de son travail ou par ses autres ressources (art. 276 al. 3 CC). b) La contribution envers l'enfant majeur n'est due que "dans la mesure où les circonstances permettent de l'exiger d'eux".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Berner Kommentar,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4ème éd., no 1090 p. 627). Cela n'exclut certes pas nécessairement de retenir, selon les circonstances, un revenu hypothétique de la part du parent débiteur (BJM 2004 p. 29), mais on devra être prudent à cet égard. c) Si le débiteur est en principe libre de déplacer son domicile à l'étranger comme de changer d'emploi ou de profession, la baisse de revenu qui peut en résulter ne doit pas être répercutée sur le créancier d'aliments, dans la mesure où l'on peut raisonnablement exiger du débiteur qu'il continue à réaliser le même revenu qu'auparavant ou à tout le moins davantage que son revenu effectif. La liberté d'établissement implique cependant que l'on ne saurait exiger d'un étranger, retourné dans son pays d'origine depuis quelques années, qu'il revienne en Suisse pour obtenir un revenu plus élevé; tel est également le cas du débiteur rentré dans son pays d'origine pendant la procédure, lorsque l'intention de nuire n'est pas établie (Bastons-Bulletti, L'entretien après divorce: méthodes de calcul, montant durée et limites, SJ 2007 II 83 note 34). Lorsque le parent débiteur vit à l'étranger, on tiendra compte du revenu effectif qu'il y réalise (sous réserve d'un revenu hypothétique qui pourrait lui être imputé), et non de celui qui serait le sien en Suisse; la contribution due à l'enfant sera donc en général plus basse. On tiendra également compte du niveau de vie plus bas lorsque le parent contributeur vit à l'étranger (Meyer/Stettler, op. cit., note infrapaginale 2117 p. 571 et les arrêts cités). Lorsque le débiteur se rend dans un pays étranger, l'intention de contourner ses obligations familiales doit être démontrée par des indices concrets (cf. Cour d'appel de Fribourg, FamPra 2006 p. 426). d) Les considérations juridiques qui viennent d'être exposées sont valables a fortiori dans le cadre de l'art. 277 al. 2 CC. Si retenir un revenu hypothétique pouvait se justifier dans le cadre du jugement de divorce, on ne saurait exiger du débiteur qu'il revienne en Suisse après 13 ans d'absence pour obtenir un revenu plus élevé et ainsi satisfaire à une obligation d'entretien envers un enfant majeur. Comme indiqué (supra, c. 4b), les conditions d'octroi sont plus restrictives. On ne saurait par ailleurs affirmer que le recourant a quitté la Suisse afin de nuire à sa fille après sa majorité. A cela s'ajoute qu'il est aujourd'hui âgé de 54 ans et que rien ne permet de retenir qu'il pourrait réaliser en Suisse un revenu mensuel net de 5'000 fr. par mois, en se fondant sur son seul niveau de formation (formation d'économiste à l'Université de Fribourg, maîtrise de l'anglais et de l'espagnol; enseignement du français à l'Université d'Etat [pièce 101 du recourant]). Au demeurant, le premier juge a retenu que le recourant réalisait un revenu annuel net de 3'366 fr. dans le cadre de son travail actuel au Mexique.</w:t>
      </w:r>
    </w:p>
    <w:p>
      <w:r>
        <w:rPr>
          <w:b/>
        </w:rPr>
        <w:t>E. 5</w:t>
      </w:r>
    </w:p>
    <w:p>
      <w:r>
        <w:t>Au surplus, même s'il fallait admettre un revenu hypothétique de 5'000 francs par mois, il y a lieu de relever que le minimum vital de l'intimé, retenu par le premier juge s'élève à 5'460 fr. (jgt p. 19). Ce montant n'est pas contesté par les parties en recours et ne prête pas le flanc à la critique. Si l'on retient un revenu hypothétique réalisé en Suisse, on doit retenir un minimum vital calculé selon les normes valables en Suisse. En outre, il est justifié de prendre en compte l'entier de la pension due à l'enfant mineur F3.P.________, car la contribution envers les enfants mineurs (comme celle envers le conjoint; ATF 132 III 209) passe avant celles envers les enfants majeurs. En outre, le parent n'est tenu à contribution envers l'enfant majeur que si, après versement de celle-ci, il dispose encore d'un revenu dépassant de 20 % environ son minimum vital élargi, augmenté des charges fiscales courantes (ATF 118 II 97, JT 1994 I 341; ATF 127 I 202). Ainsi, une contribution d'entretien entamerait dans tous les cas le minimum vital ainsi défini. Dès lors, la fille majeure du recourant ne saurait prétendre à une contribution d'entretien en sa faveur.</w:t>
      </w:r>
    </w:p>
    <w:p>
      <w:r>
        <w:rPr>
          <w:b/>
        </w:rPr>
        <w:t>E. 6</w:t>
      </w:r>
    </w:p>
    <w:p>
      <w:r>
        <w:t>En définitive, le recours doit être admis et le jugement réformé aux chiffres I et II de son dispositif en ce sens que la demande présentée le 10 juillet 2008 par F.P.________ est rejetée (I), celle-ci devant verser à A.P.________ la somme de 2'000 fr. à titre de dépens (II). Le jugement est confirmé pour le surplus. Les frais de deuxième instance du recourant sont arrêtés à 300 fr. (art. 233 TFJC). L'intimée doit verser au recourant la somme de 1'800 fr. à titre de dépens de deuxième instance. Par ces motifs, la Chambre des recours du Tribunal cantonal, statuant à huis clos, prononce : I. Le recours est admis. II. Le jugement est réformé aux chiffres I et II de son dispositif comme il suit : I.- rejette la demande de F.P.________ du 10 juillet 2008, II.- dit que la demanderesse F.P.________ doit verser au défendeur A.P.________ la somme de 2'000 fr. (deux mille francs) à titre de dépens. Le jugement est confirmé pour le surplus. III. Les frais de deuxième instance du recourant sont arrêtés à 300 fr. (trois cents francs). IV. L'intimée F.P.________ doit verser au recourant A.P.________ la somme de 1'800 fr. (mille huit cents francs) à titre de dépens de deuxième instance. V. L'arrêt motivé est exécutoire. Le président :               Le greffier : Du</w:t>
      </w:r>
    </w:p>
    <w:p>
      <w:r>
        <w:rPr>
          <w:b/>
        </w:rPr>
        <w:t>E. 9</w:t>
      </w:r>
    </w:p>
    <w:p>
      <w:r>
        <w:t>mars 2010 Le dispositif de l'arrêt qui précède est communiqué par écrit aux intéressés. Le greffier : Du L'arrêt qui précède, dont la rédaction a été approuvée à huis clos, est notifié en expédition complète, par l'envoi de photocopies, à : ‑ Me François Besse (pour A.P.________), ‑ Me Anne-Florence Cornaz (pour F.P.________).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