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166 vom 23. Februar 2010</w:t>
      </w:r>
    </w:p>
    <w:p>
      <w:r>
        <w:t>VD Tribunal cantonal, 2010-02-23, FR</w:t>
      </w:r>
    </w:p>
    <w:p>
      <w:r>
        <w:rPr>
          <w:b/>
        </w:rPr>
        <w:t xml:space="preserve">Quelle: </w:t>
      </w:r>
      <w:r>
        <w:t>https://mcp.opencaselaw.ch/entscheid/vd_findinfo_HC___2010___166</w:t>
      </w:r>
    </w:p>
    <w:p>
      <w:r>
        <w:t>FR: VD_FINDINFO HC / 2010 / 166 du 23 février 2010</w:t>
      </w:r>
    </w:p>
    <w:p>
      <w:r>
        <w:t>IT: VD_FINDINFO HC / 2010 / 166 del 23 febbraio 2010</w:t>
      </w:r>
    </w:p>
    <w:p>
      <w:pPr>
        <w:pStyle w:val="Heading2"/>
      </w:pPr>
      <w:r>
        <w:t>Regeste</w:t>
      </w:r>
    </w:p>
    <w:p>
      <w:r>
        <w:t>CERTIFICAT D'HÉRITIER | 559 CC</w:t>
      </w:r>
    </w:p>
    <w:p>
      <w:pPr>
        <w:pStyle w:val="Heading2"/>
      </w:pPr>
      <w:r>
        <w:t>Erwägungen</w:t>
      </w:r>
    </w:p>
    <w:p>
      <w:r>
        <w:rPr>
          <w:b/>
        </w:rPr>
        <w:t>E. 1</w:t>
      </w:r>
    </w:p>
    <w:p>
      <w:r>
        <w:t>a) L'établissement du certificat d'héritier – ou le refus de délivrer celui-ci – est un acte de juridiction gracieuse (Guinand/Stettler/Leuba, Droit des successions, 6 ème éd., 2005, n. 445 p. 217; Steinauer, Le droit des successions, 2006, n. 902d p. 443), de la compétence du juge de paix (art. 2 ch. 15 let. h LVCC [loi du 30 novembre 1910 d'introduction dans le Canton de Vaud du Code civil suisse; RSV 211.01]). La voie du recours non contentieux (art. 489 ss CPC) est ainsi ouverte contre la délivrance du certificat d'héritier et les indications qu'il contient (JT 2002 III 186 c. 1a; Poudret/Haldy/Tappy, Procédure civile vaudoise, 3 ème éd., 2002, n. 2.4 ad art. 489 CPC, p. 759). b) Est recevable le recours non contentieux qui se borne à formuler des conclusions toutes générales en réforme et en nullité (JT 2002 III 186 c. 1d). La juridiction supérieure juge si la décision de première instance doit être réformée, annulée ou renvoyée au premier juge pour complément d'instruction et nouvelle décision (cf. Poudret/Haldy/Tappy, op. cit., n. 4 ad art. 492 CPC, p. 763). En l'espèce, si l'acte de recours ne contient pas de conclusions précises, il découle de son texte que la recourante conteste la délivrance du certificat d'héritier. La recourante fait valoir qu'elle a refusé d'accepter la succession. c) Le recours non contentieux est pleinement dévolutif, le Tribunal cantonal pouvant revoir la cause en fait et en droit (JT 2003 III 35 c. 1c p. 37; JT 2002 III 186 c. 1c; Poudret/Haldy/Tappy, op. cit., note ad art. 498 CPC, p. 766).</w:t>
      </w:r>
    </w:p>
    <w:p>
      <w:r>
        <w:rPr>
          <w:b/>
        </w:rPr>
        <w:t>E. 2</w:t>
      </w:r>
    </w:p>
    <w:p>
      <w:r>
        <w:t>Il est exact que, dans un premier temps, une formule d'acceptation de la succession a été adressée à la recourante, sur laquelle elle a porté diverses indications, qui apparaissent contradictoires, et a fait figurer une procuration en faveur de son frère sur le texte même de cette formule, à laquelle était jointe une autre procuration préimprimée et non signée. Mais, comme communiqué ultérieurement par la justice de paix, cette première formule était rédigée d'une manière inexacte puisqu'elle attribuait à la recourante le prénom de sa mère. Interpellée par la justice de paix, la recourante a retourné une seconde formule correctement libellée et signée le 3 août 2009, sur laquelle elle déclarait accepter la succession de sa mère. Au surplus, par déclaration du 16 juillet 2009, fondée sur une procuration établie le 13 juillet 2009 par la recourante, son frère B.W.________ avait accepté la succession en cause tant pour lui que pour sa sœur. Que la recourante soit sous curatelle au sens des art. 392 ch. 1 et 393 CC n'enlève rien à sa capacité civile. C'est dès lors à juste titre que le premier juge a mentionné le nom de la recourante sur le certificat d'héritier.</w:t>
      </w:r>
    </w:p>
    <w:p>
      <w:r>
        <w:rPr>
          <w:b/>
        </w:rPr>
        <w:t>E. 3</w:t>
      </w:r>
    </w:p>
    <w:p>
      <w:r>
        <w:t>En définitive, le recours doit être rejeté et la décision confirmée. Les frais de deuxième instance de la recourante sont arrêtés à 100 fr. (art. 236 TFJC). Par ces motifs, la Chambre des recours du Tribunal cantonal, statuant à huis clos, prononce : I. Le recours est rejeté. II. La décision est confirmée. III. Les frais de deuxième instance de la recourante A.W.________ sont arrêtés à 100 fr. (cent francs). IV. L'arrêt motivé est exécutoire. Le président :               Le greffier : Du 23 février 2010 Le dispositif de l'arrêt qui précède est communiqué par écrit aux intéressés. Le greffier : Du L'arrêt qui précède, dont la rédaction a été approuvée à huis clos, est notifié en expédition complète, par l'envoi de photocopies, à : ‑ Mme A.W.________, ‑ M. B.W.________, - Mme [...]. La Chambre des recours considère qu'il s'agit d'une cause non contentieuse.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