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165 vom 29. Januar 2010</w:t>
      </w:r>
    </w:p>
    <w:p>
      <w:r>
        <w:t>VD Tribunal cantonal, 2010-01-29, FR</w:t>
      </w:r>
    </w:p>
    <w:p>
      <w:r>
        <w:rPr>
          <w:b/>
        </w:rPr>
        <w:t xml:space="preserve">Quelle: </w:t>
      </w:r>
      <w:r>
        <w:t>https://mcp.opencaselaw.ch/entscheid/vd_findinfo_HC___2010___165</w:t>
      </w:r>
    </w:p>
    <w:p>
      <w:r>
        <w:t>FR: VD_FINDINFO HC / 2010 / 165 du 29 janvier 2010</w:t>
      </w:r>
    </w:p>
    <w:p>
      <w:r>
        <w:t>IT: VD_FINDINFO HC / 2010 / 165 del 29 gennaio 2010</w:t>
      </w:r>
    </w:p>
    <w:p>
      <w:pPr>
        <w:pStyle w:val="Heading2"/>
      </w:pPr>
      <w:r>
        <w:t>Regeste</w:t>
      </w:r>
    </w:p>
    <w:p>
      <w:r>
        <w:t>SURSIS À L'EXÉCUTION DE LA PEINE, PEINE PRIVATIVE DE LIBERTÉ, PEINE PÉCUNIAIRE | 41 ch. 1 CP, 41 ch. 2 CP,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h CPP, respectivement d e la violation de la présomption d'innocence. 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c) En procédure vaudoise, le principe in dubio pro reo est considéré comme un moyen de nullité et non plus de réforme (JT 2007 III 82 s.; CCASS, 11 juillet 2006, n° 256; CCASS, 4 janvier 2006, n° 75; CCASS, 13 janvier 2005, n° 18; CCASS, 29 décembre 2004, n° 440).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Cass., 27 octobre 1999; Cass., N., 30 mai 2000; 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w:t>
      </w:r>
    </w:p>
    <w:p>
      <w:r>
        <w:rPr>
          <w:b/>
        </w:rPr>
        <w:t>E. 3</w:t>
      </w:r>
    </w:p>
    <w:p>
      <w:r>
        <w:t>Par l'ensemble des moyens de nullité invoqués, le recourant fait valoir que c'est à tort que le premier juge a retenu, sans qu'une expertise ni une autre pièce ne l'établisse, que les fractures digitales de la victime avaient été causées par une torsion. a) Sous l'angle de l'art. 411 let. h CPP, c'est en vain que le recourant se prévaut d'une lacune dans l'état de fait du jugement. En effet, il est établi par chacun des deux avis libellés le 17 novembre 2008 par les Hôpitaux universitaires de Genève que les lésions avaient été causées par un "mouvement de torsion"; au surplus, le protocole radiographique rédigé l'avant-veille, soit le jour des faits, mentionne une "fracture spiroïde", ce qui étaye les appréciations postérieures quant à l'origine des traumatismes. Au surplus, l'appréciation des preuves n'est pas arbitraire non plus. Le recourant n'a pas requis une expertise. Partant, il ne saurait, en présence d'avis médicaux clairs et concordants, se plaindre de ce qu'il a été statué sans qu'une telle mesure d'instruction n'eût été ordonnée. En outre, les avis médicaux sont confortés par les dires de la victime, ainsi que par les témoignages du fils de celle-ci et de la voisine du couple. Ils sont également étayés par les changements de versions des faits de l'accusé, dont la seconde version apparaît aussi peu vraisemblable que la première. L'état de fait du jugement n'est dès lors pas insuffisant, pas plus qu'il ne présente des lacunes ou des contradictions. b) Au bénéfice de la présomption d'innocence, le recourant fait ensuite valoir que les faits incriminés ne sont pas établis. Le premier juge a pourtant solidement étayé les motifs de sa conviction, sur la base desquels il est parvenu à la conviction de la culpabilité de l'accusé au-delà de tout doute sérieux. La présomption d'innocence n'a donc pas été violée. Ce moyen doit donc être rejeté pour les mêmes motifs que ceux déduits de l'art. 411 let. h CPP ci-dessus. c) Excipant derechef de l'art. 411 let. h CPP, le recourant fait enfin grief au premier juge ne n'avoir qu'imparfaitement examiné sa situation personnelle, s'agissant en particulier du revenu tiré de son activité actuelle d'agent de sécurité. Le jugement mentionne l'activité passée et présente de l'accusé, même s'il ne fait état d'aucun revenu actuel, ce au motif que l'intéressé "ne peut guère déterminer" ce salaire. Il aurait pourtant été loisible à l'accusé, qui était assisté à l'audience, de produire un certificat de salaire. Au surplus, il ne fait pas valoir qu'il est partie à un contrat de bail portant sur un logement. Enfin, l'élément déterminant quant à la situation personnelle de l'accusé est que s on permis B a été révoqué par le SPOP avec effet au 15 mars 2010 et que son recours interjeté contre cette décision a été rejeté par l'autorité compétente. Or, cet élément figure dans le jugement avec toute la précision voulue. Ainsi, même s'il devait être admis que l'état de fait du jugement est insuffisant, respectivement présente des lacunes, ces carences éventuelles ne sauraient porter sur des points de nature à influer sur la décision attaquée. Le recours en nullité doit donc être rejeté.</w:t>
      </w:r>
    </w:p>
    <w:p>
      <w:r>
        <w:rPr>
          <w:b/>
        </w:rPr>
        <w:t>E. 4</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5</w:t>
      </w:r>
    </w:p>
    <w:p>
      <w:r>
        <w:t>En réforme, le recourant, en concluant à ce qu'une peine pécuniaire soit prononcée en lieu et place d'une peine privative de liberté, conteste d'abord le type de la peine. En concluant à ce que la peine soit assortie du sursis, il conteste ensuite le pronostic défavorable posé par le premier juge. Ces conclusions sont liées. Partant, elles seront traitées de concert. Il y a ainsi lieu d'examiner successivement les conditions légales posées à l'octroi du sursis et celles permettant de prononcer une peine privative de liberté plutôt qu'une peine pécuniaire, voire une peine de travail d'intérêt général. La qualification de chacune des infractions réprimées n'est pas contestée. 6.a)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(art. 41 al. 1 CP). Le juge doit motiver le choix de la courte peine privative de liberté ferme de manière circonstanciée (art. 41 al. 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Contrairement à l'ancien droit, l'art. 42 CP n'exige plus l'existence d'un pronostic favorable quant au comportement futur du condamné. Le sursis est refusé non plus lorsqu'il est impossible d'établir un hypothétique pronostic favorable, mais bien parce qu'un pronostic défavorable existe (Kuhn, Le sursis et le sursis partiel, in La nouvelle partie générale du Code pénal suisse, Kuhn, Moreillon, Viredaz et Bichovsky éd., Berne 2006, pp. 213 ss, spéc. p. 220). Sous cet angle, le nouveau droit est ainsi plus favorable que l'ancien, de sorte que les justiciables doivent pouvoir s'en prévaloir, s'ils se trouvent dans l'hypothèse visée par l'art. 2 al. 2 CP. b) Les dénégations de l'accusé sont révélatrices d'un élément de son caractère. Elles n'excluent pas nécessairement un pronostic favo­rable, dans la mesure où l'accusé peut choi­sir de nier par honte, par peur du châtiment, par crainte de perdre sa situation professionnelle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(ATF 101 IV 257; CCASS, 1 er septembre 2000, n° 481; CCASS, 18 novembre 1997, n° 354). Cette jurisprudence reste pleinement applicable sous l'empire du nouveau droit (CCASS, 27 avril 2007, n° 185; CCASS, 12 mai 2009, n° 208). c) Statuer sur le sursis implique d'examiner le pronostic au sens déduit de l'art. 42 al. 1 CP. A cet égard, le premier juge a retenu, à charge, la sauvagerie de l'agression, le déni ridicule de l'accusé, son absence d'amendement et d'empathie pour son épouse, l'auteur n'assumant pas les conséquences de son comportement et persistant à rejeter ses lourdes fautes sur sa victime. S'agissant en particulier de ses dénégations, l'accusé a agi dans le dessein de rejeter la faute sur autrui, respectivement de tenter de mau­vaise foi de charger témoins ou victimes, voir­e de les faire passer pour des menteurs, au sens de la jurisprudence résumée au considérant ci-dessus. Elles peuvent donc être retenues à charge dans le cadre du pronostic. On doit déduire de ces circonstances un risque de réitération particulièrement élevé. Ces éléments suffisent, nonobstant l'absence d'antécédents de l'accusé, à justifier d'un pronostic défavorable. Partant, c'est à bon droit que le premier juge n'a pas assorti la peine du sursis.</w:t>
      </w:r>
    </w:p>
    <w:p>
      <w:r>
        <w:rPr>
          <w:b/>
        </w:rPr>
        <w:t>E. 7</w:t>
      </w:r>
    </w:p>
    <w:p>
      <w:r>
        <w:t>Autre est la question du type de la peine. Il faut déterminer si une peine pécuniaire, respectivement une peine de travail d'intérêt général est exécutable au sens de l'art. 41 al. 1 CP. a)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c. 3.1.2 ; ATF 134 IV 60 ,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b) L'art. 41 al. 1 CP est l'une des normes consacrant le caractère désormais exceptionnel de la peine privative de liberté par rapport à la peine pécuniaire et à la peine de travail d'intérêt général. Pour ce qui de la seconde condition posée par cette disposition, le Tribunal fédéral a rappelé que, lorsque le pronostic sur la possibilité d'exécuter la peine pécuniaire est défavorable, une courte peine privative de liberté ferme doit être prononcée, car la loi réserve expressément la peine pécuniaire pour cette hypothèse, afin de garantir à l'Etat l'exercice de son droit de répression (TF 6B_541/2007 du 13 mai 2008, précité, c. 7.1) . L'évaluation des perspectives d'exécution de la peine doit principalement tenir compte des modalités d'exécution. Il est vrai que l'autorité d'exécution des peines est compétente pour l'octroi ou la prolongation des délais de paiement ainsi que pour ordonner le paiement immédiat ou la fourniture de sûretés. Dans son pronostic, le juge n'en doit pas moins de pencher par avance sur les questions d'exécution pour évaluer les perspectives de succès de celle-ci. Il convient de tenir compte, dans ce contexte, du fait que l'exécution de la peine pécuniaire doit prioritairement intervenir par un paiement spontané. La peine pécuniaire n'est exécutée par la voie de la poursuite que si le paiement n'est pas effectué dans le délai imparti et qu'un résultat puisse en être attendu. La loi garantit en outre l'exécution de la peine pécuniaire par la menace d'une peine privative de liberté de substitution, ce qui doit induire sur le condamné la pression nécessaire. Il y a, par ailleurs, lieu de prendre en considération dans le pronostic le titre auquel l'intéressé séjourne en Suisse. Une décision de renvoi en force au moment du jugement peut faire apparaître l'exécution de la peine pécuniaire comme compromise. On ne peut cependant conclure du seul fait qu'une expulsion ou un renvoi apparaît certain que la peine pécuniaire ne pourra pas être exécutée. Lorsque la peine pécuniaire peut être exécutée dans son intégralité immédiatement, respectivement jusqu'à l'échéance du délai de renvoi, l'exécution de la peine pécuniaire n'est absolument pas mise en péril. Le juge doit, en conséquence, examiner si le condamné peut, dans cet intervalle, s'acquitter de la peine pécuniaire sur son revenu ou cas échéant sur sa fortune ou encore s'il peut fournir des sûretés (cf. TF 6B_541/2007 du 13 mai 2008, précité, c. 7.2). Les mêmes motifs s'appliquent, mutatis mutandis , à la peine de travail d'intérêt général. En effet, le prononcé d'un travail d'intérêt général n'est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(ATF 134 IV 97, c. 6.3.3.4 p. 110; arrêt non publié du 13 mai 2008, précité, c. 4.2.4). c) En l'espèce, l'élément déterminant est l'échéance du permis B de l'accusé au 15 mars 2010. Passé ce délai et alors même qu'aucune condamnation ne sera encore exécutoire, l'intéressé ne pourra plus exercer d'activité lucrative en Suisse. En effet, dès lors qu'il sera tenu de quitter le territoire suisse, cette obligation peut se traduire à tout moment par un départ forcé. Ces motifs, déduits du droit des étrangers, excluent, sauf circonstances particulières, qu'une peine pécuniaire puisse être exécutée (cf. CCASS, 6 octobre 2008 , n° 376, c. 3, rendu sur renvoi du TF, cf. l'arrêt non publié précité). De même, il n'existe aucun intervalle temporel pouvant être présumé suffisant pour que l'accusé s'acquitte d'une peine pécuniaire et l'intéressé n'a pas fourni de sûretés. Au surplus, on ne saurait, conformément à la jurisprudence résumée au considérant ci-dessus, concevoir qu'un condamné qui n'est pas autorisé à travailler exécute une peine de travail d'intérêt général. d) Mais il y a plus. Le recourant plaide lui-même qu'il ne vit que de missions temporaires, pour une rétribution modique de surcroît. Il n'occupe pas de logement permanent, et l'on peut présumer qu'il en aurait un si le montant et la pérennité de ses ressources le lui permettaient. Au vu des pièces, il ne dispose pas davantage d'économies, ce qui, en l'état du moins, exclut la fourniture de sûretés à bref délai. On ignore enfin le régime matrimonial des époux et, en tout état de cause, la femme de l'accusé a perdu son emploi d'ouvrière. Dans ces conditions, il apparaît impossible de déterminer la situation financière du recourant. Partant, une peine pécuniaire doit être considérée comme inexécutable pour ce motif également. e) C'est donc à juste titre que le premier juge a prononcé une peine privative de liberté. La quotité de cette sanction n'est pas contestée. Le recours en réforme doit ainsi être rejeté à l'instar du recours en nullité.</w:t>
      </w:r>
    </w:p>
    <w:p>
      <w:r>
        <w:rPr>
          <w:b/>
        </w:rPr>
        <w:t>E. 8</w:t>
      </w:r>
    </w:p>
    <w:p>
      <w:r>
        <w:t>En conclusion, le recours doit être rejeté en application de l'art. 431 al. 2 CPP et le jugement confirmé. Vu l'issue du recours, les frais de deuxième instance, y compris l'indemnité allouée à son défenseur d'office, par 774 fr. 70, TVA comprise, sont mis à la charge du recourant (art. 450 al. 1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