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152 vom 11. März 2010</w:t>
      </w:r>
    </w:p>
    <w:p>
      <w:r>
        <w:t>VD Tribunal cantonal, 2010-03-11, FR</w:t>
      </w:r>
    </w:p>
    <w:p>
      <w:r>
        <w:rPr>
          <w:b/>
        </w:rPr>
        <w:t xml:space="preserve">Quelle: </w:t>
      </w:r>
      <w:r>
        <w:t>https://mcp.opencaselaw.ch/entscheid/vd_findinfo_HC___2010___152</w:t>
      </w:r>
    </w:p>
    <w:p>
      <w:r>
        <w:t>FR: VD_FINDINFO HC / 2010 / 152 du 11 mars 2010</w:t>
      </w:r>
    </w:p>
    <w:p>
      <w:r>
        <w:t>IT: VD_FINDINFO HC / 2010 / 152 del 11 marzo 2010</w:t>
      </w:r>
    </w:p>
    <w:p>
      <w:pPr>
        <w:pStyle w:val="Heading2"/>
      </w:pPr>
      <w:r>
        <w:t>Regeste</w:t>
      </w:r>
    </w:p>
    <w:p>
      <w:r>
        <w:t>INTERDICTION DE L'ARBITRAIRE, EXPULSION DE LOCATAIRE, CHOSE LOUÉE, RESTITUTION{EN GÉNÉRAL}, DÉPENS | 457 CPC, 9 Cst., 23 LPEBL, 29 LPEBL</w:t>
      </w:r>
    </w:p>
    <w:p>
      <w:pPr>
        <w:pStyle w:val="Heading2"/>
      </w:pPr>
      <w:r>
        <w:t>Erwägungen</w:t>
      </w:r>
    </w:p>
    <w:p>
      <w:r>
        <w:rPr>
          <w:b/>
        </w:rPr>
        <w:t>E. 4</w:t>
      </w:r>
    </w:p>
    <w:p>
      <w:r>
        <w:t>En conclusion, le recours doit être rejeté et l'ordonnance confirmée. Les frais de deuxième instance de la recourante sont arrêtés à 418 francs (art. 232 al. 1 TFJC [Tarif du 4 décembre 1984 des frais judiciaires en matière civile], par renvoi de l'art. 230 al. 2 TFJC). Obtenant gain de cause, les intimés, créanciers solidaires, ont droit à des dépens de deuxième instance d'un montant de 300 fr. (art. 91 et 92 al. 1 CPC). Par ces motifs, la Chambre des recours du Tribunal cantonal, statuant à huis clos, prononce : I. Le recours est rejeté . II. L'ordonnance est confirmée . III. Les frais de deuxième instance de la recourante sont arrêtés à 418 fr. (quatre cent dix-huit francs). IV. La recourante J.________ doit verser aux intimés B.Y.________ et A.Y.________, créanciers solidaires, la somme de 300 fr. (trois cents francs) à titre de dépens de deuxième instance. V. L'arrêt motivé est exécutoire. Le président : La greffière : Du 11 mars 2010 Le dispositif de l'arrêt qui précède est communiqué par écrit aux intéressés. La greffière : Du L'arrêt qui précède, dont la rédaction a été approuvée à huis clos, est notifié en expédition complète, par l'envoi de photocopies, à : ‑      Me Bertrand Pariat (pour J.________), ‑      M. Daniel Schwab, agent d'affaires breveté (pour B.Y.________ et A.Y.________).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