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151 vom 17. März 2010</w:t>
      </w:r>
    </w:p>
    <w:p>
      <w:r>
        <w:t>VD Tribunal cantonal, 2010-03-17, FR</w:t>
      </w:r>
    </w:p>
    <w:p>
      <w:r>
        <w:rPr>
          <w:b/>
        </w:rPr>
        <w:t xml:space="preserve">Quelle: </w:t>
      </w:r>
      <w:r>
        <w:t>https://mcp.opencaselaw.ch/entscheid/vd_findinfo_HC___2010___151</w:t>
      </w:r>
    </w:p>
    <w:p>
      <w:r>
        <w:t>FR: VD_FINDINFO HC / 2010 / 151 du 17 mars 2010</w:t>
      </w:r>
    </w:p>
    <w:p>
      <w:r>
        <w:t>IT: VD_FINDINFO HC / 2010 / 151 del 17 marzo 2010</w:t>
      </w:r>
    </w:p>
    <w:p>
      <w:pPr>
        <w:pStyle w:val="Heading2"/>
      </w:pPr>
      <w:r>
        <w:t>Regeste</w:t>
      </w:r>
    </w:p>
    <w:p>
      <w:r>
        <w:t>EXPULSION DE LOCATAIRE, LOI CANTONALE RELATIVE À LA PROCÉDURE EN MATIÈRE DE BAIL | 257d CO, 9 Cst., 23 LPEBL, 29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qui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JT 2009 III 79 c. 2a pp. 83/84).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déposé en temps utile, le recours est recevable en la forme. Le recourant n'a pas contesté le congé devant la commission de conciliation compétente. Le recours doit donc être examiné sous l'angle restreint de l'arbitraire.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p. 84; JT 2008 III 12 c. 3a; JT 1993 III 88 c. 3). En l'espèce, l'état de fait de l'ordonnance est conforme aux pièces du dossier.</w:t>
      </w:r>
    </w:p>
    <w:p>
      <w:r>
        <w:rPr>
          <w:b/>
        </w:rPr>
        <w:t>E. 2</w:t>
      </w:r>
    </w:p>
    <w:p>
      <w:r>
        <w:t>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2002, n. 5 ad art. 356 CPC, p. 537; cf. aussi sur la notion d'arbitraire : ATF 134 I 263, c. 3.1 p. 265/266; ATF 133 II 257 c. 5.1 pp. 260/261; ATF 132 I 13 c. 5.1; ATF 129 I 173 c. 3.1). Il ne suffit pas que la motivation de la décision soit insoutenable; encore faut-il que celle-ci apparaisse arbitraire dans son résultat (ATF 133 I 149 c. 3.1 p. 153).</w:t>
      </w:r>
    </w:p>
    <w:p>
      <w:r>
        <w:rPr>
          <w:b/>
        </w:rPr>
        <w:t>E. 3</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 notification de l'avis comminatoire, il faut que l'arriéré de loyer soit déterminable de manière certaine, sans qu'il soit cependant nécessaire d'indiquer le montant impayé de manière chiffrée. Il suffit que l'objet de la mise en demeure soit déterminable sans discussion (TF du 14 juin 2000, publié in CdB 2000 p. 107, sp. 109). Cela peut intervenir soit par l'indication des mois en souffrance (mois de calendrier impayés; Lachat, Le droit du bail, 2008, p. 666), soit par l'indication d'un montant d'arriéré de loyer précis, pour autant, dans ce dernier cas, que le locataire ne risque pas de se voir imposer la justification du paiement de tous les loyers déjà échus, sous prétexte que l'un d'entre eux n'aurait, selon le bailleur, pas été réglé (CREC I du 28 mars 2007/133 c. 3.3 et les arrêts cantonaux cités). En l'espèce, dans sa mise en demeure du 12 août 2009, la bailleresse a indiqué au locataire qu'il devait s'acquitter des loyers échus pour les mois de juin 2009 à août 2009, pour une somme de 1'635 francs. Il n'était ainsi pas fait mention du fait que ce montant s'entendait déduction faite d'un acompte de 765 fr., qui avait été payé par le locataire le 23 juin 2009 sur le loyer de juin 2009. Toutefois, il n'y a pas d'équivoque quant à la créance en souffrance dans cet avis : celle-ci comprend le solde du mois de juin et les mois de juillet et août 2009. Le locataire ne pouvait pas se méprendre, puisque le montant réclamé correspond au franc près à ce qu'il devait encore payer à la bailleresse sur les trois mois échus. Au demeurant, l'intimé n'a pas réagi à réception de ce courrier ni soulevé de moyen au sujet de ce qui précède. De surcroît, il a fait défaut à l'audience de jugement. Dans ces conditions, il est choquant - partant arbitraire - de refuser d'ordonner l'expulsion du locataire en demeure pour le motif que la bailleresse n'a pas mentionné le détail de l'arriéré de loyer.</w:t>
      </w:r>
    </w:p>
    <w:p>
      <w:r>
        <w:rPr>
          <w:b/>
        </w:rPr>
        <w:t>E. 4</w:t>
      </w:r>
    </w:p>
    <w:p>
      <w:r>
        <w:t>En définitive, le recours doit être admis et l'ordonnance réformée en ce sens que L.________ doit quitter et rendre libres les locaux qu'il occupe dans l'immeuble sis avenue [...] à Lausanne (appartement de deux pièces et une cave), dans le délai que fixera le Juge de paix du district de Lausanne, une fois les considérants écrits du présent arrêt envoyés pour notification aux parties (1). A défaut de quitter volontairement les locaux, L.________ y sera contraint par la force, selon les règles prévues aux art. 508 ss CPC, qui seront précisées dans le dispositif (2). Les frais de première instance de B.________ SA sont arrêtés à 300 fr. (3) et les dépens de première instance dus par L.________ à 300 fr. (4). Les frais de seconde instance de la recourante sont arrêtés à 200 fr. (art. 230 TFJC). L'intimé doit verser à la recourante la somme de 200 fr. à titre de dépens de seconde instance. Par ces motifs, la Chambre des recours du Tribunal cantonal, statuant à huis clos, prononce : I. Le recours est admis. II. La décision est réformée en ce sens que : 1.         L.________ doit quitter et rendre libres les locaux qu'il occupe dans l'immeuble sis avenue [...] à Lausanne (appartement de deux pièces et une cave), dans le délai que fixera le Juge de paix du district de Lausanne, une fois les considérants écrits du présent arrêt envoyés pour notification aux parties. 2.         A défaut de quitter volontairement ces locaux, L.________ y sera contraint par la force, selon les règles prévues aux articles 508 et suivants du Code de procédure civile, étant précisé que : a)    l'exécution forcée aura lieu par les soins de l'huissier de paix ou de son remplaçant, sous la présidence du juge de paix ; b)    l'office pourra pénétrer dans les locaux objets de cette ordonnance même par voie d'ouverture forcée, les agents de la force publique étant tenus, sur réquisition, de concourir à l'exécution forcée ; c)    la réquisition d'exécution forcée de la partie requérante devra intervenir dans les deux mois suivant le délai fixé dans cette ordonnance, sous peine de caducité de l'ordonnance. 3.         Les frais de première instance de la requérante sont arrêtés à 300 fr. (trois cents francs). 4.         L'intimé L.________ doit verser à la requérante B.________ SA la somme de 300 fr. (trois cents francs) à titre de dépens de première instance. III. Les frais de seconde instance de la recourante sont arrêtés à 200 fr. (deux cents francs). IV. L'intimé L.________ doit verser à la recourante B.________ SA la somme de 200 fr. (deux cents francs) à titre de dépens de seconde instance. V. L'arrêt motivé est exécutoire. L e président : L e greffi er : Du 17 mars 2010 Le dispositif de l'arrêt qui précède est communiqué par écrit aux intéressés. L e greffi er : Du L'arrêt qui précède, dont la rédaction a été approuvée à huis clos, est notifié en expédition complète, par l'envoi de photocopies, à : ‑      B.________ SA, ‑      M. L.________. La Chambre des recours considère que la valeur litigieuse est de 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