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2010 / 139 vom 4. Februar 2010</w:t>
      </w:r>
    </w:p>
    <w:p>
      <w:r>
        <w:t>VD Tribunal cantonal, 2010-02-04, FR</w:t>
      </w:r>
    </w:p>
    <w:p>
      <w:r>
        <w:rPr>
          <w:b/>
        </w:rPr>
        <w:t xml:space="preserve">Quelle: </w:t>
      </w:r>
      <w:r>
        <w:t>https://mcp.opencaselaw.ch/entscheid/vd_findinfo_HC___2010___139</w:t>
      </w:r>
    </w:p>
    <w:p>
      <w:r>
        <w:t>FR: VD_FINDINFO HC / 2010 / 139 du 4 février 2010</w:t>
      </w:r>
    </w:p>
    <w:p>
      <w:r>
        <w:t>IT: VD_FINDINFO HC / 2010 / 139 del 4 febbraio 2010</w:t>
      </w:r>
    </w:p>
    <w:p>
      <w:pPr>
        <w:pStyle w:val="Heading2"/>
      </w:pPr>
      <w:r>
        <w:t>Regeste</w:t>
      </w:r>
    </w:p>
    <w:p>
      <w:r>
        <w:t>AMENDE | 54 al. 1 LSM</w:t>
      </w:r>
    </w:p>
    <w:p>
      <w:pPr>
        <w:pStyle w:val="Heading2"/>
      </w:pPr>
      <w:r>
        <w:t>Erwägungen</w:t>
      </w:r>
    </w:p>
    <w:p>
      <w:r>
        <w:rPr>
          <w:b/>
        </w:rPr>
        <w:t>E. 2</w:t>
      </w:r>
    </w:p>
    <w:p>
      <w:r>
        <w:t>Cela étant, le greffier du Tribunal d'arrondissement de l'Est vaudois a fixé au recourant un délai pour produire un mémoire motivé au sens de l'art. 425 CPP. Le plaideur ne peut cependant se prétendre surpris dans sa bonne foi, puisque, ainsi qu'on l'a vu, le jugement attaqué n'est précisément pas susceptible de faire l'objet d'un recours ordinaire selon les art. 410 et suivants CPP (cf. Prés. CASS,</w:t>
      </w:r>
    </w:p>
    <w:p>
      <w:r>
        <w:rPr>
          <w:b/>
        </w:rPr>
        <w:t>E. 3</w:t>
      </w:r>
    </w:p>
    <w:p>
      <w:r>
        <w:t>P artant, le recours, irrecevable, soit manifestement mal fondé, doit être écarté sans examen matériel (art. 431 al. 2 CPP). Les frais du présent arrêt doivent être mis à la charge du recourant (art. 450 al. 1 CPP).</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