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 vom 10. November 2009</w:t>
      </w:r>
    </w:p>
    <w:p>
      <w:r>
        <w:t>VD Tribunal cantonal, 2009-11-10, FR</w:t>
      </w:r>
    </w:p>
    <w:p>
      <w:r>
        <w:rPr>
          <w:b/>
        </w:rPr>
        <w:t xml:space="preserve">Quelle: </w:t>
      </w:r>
      <w:r>
        <w:t>https://mcp.opencaselaw.ch/entscheid/vd_findinfo_HC___2010___13</w:t>
      </w:r>
    </w:p>
    <w:p>
      <w:r>
        <w:t>FR: VD_FINDINFO HC / 2010 / 13 du 10 novembre 2009</w:t>
      </w:r>
    </w:p>
    <w:p>
      <w:r>
        <w:t>IT: VD_FINDINFO HC / 2010 / 13 del 10 novembre 2009</w:t>
      </w:r>
    </w:p>
    <w:p>
      <w:pPr>
        <w:pStyle w:val="Heading2"/>
      </w:pPr>
      <w:r>
        <w:t>Regeste</w:t>
      </w:r>
    </w:p>
    <w:p>
      <w:r>
        <w:t>APPRÉCIATION DES PREUVES, LÉSION CORPORELLE GRAVE, CAUSALITÉ ADÉQUATE, RUPTURE DU LIEN DE CAUSALITÉ | 122 CP, 125 CP, 411 let. h CPP, 411 let. i CPP, 415 CPP, 431 al. 2 CPP</w:t>
      </w:r>
    </w:p>
    <w:p>
      <w:pPr>
        <w:pStyle w:val="Heading2"/>
      </w:pPr>
      <w:r>
        <w:t>Erwägungen</w:t>
      </w:r>
    </w:p>
    <w:p>
      <w:r>
        <w:rPr>
          <w:b/>
        </w:rPr>
        <w:t>E. 1</w:t>
      </w:r>
    </w:p>
    <w:p>
      <w:r>
        <w:t>Se prévalant des art. 411 let. e, f, g, h et i CPP, le recourant se plaint d'arbitraire dans l'appréciation des preuves, d'une violation de la présomption d'innocence et de son droit d'être entendu. a) On rappellera tout d'abord que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 Dupuis, Monnier, Moreillon et Piguet, op. cit., n. 8.1 ad art. 411 CPP; Cass., 19 septembre 2000, n° 504; Cass., 14 septembre 2000, n° 494; JT 1991 III 45 ; JT 1999 III 83, c. 6b; Besse-Matile et Abravanel, op. cit., p. 103). b) S'agissant de l'art. 411 let. h CPP, l'existence d'une insuffisance ou d'une lacune dans l'état de fait ne peut être retenue comme moyen de nullité que si elle porte sur des faits stricto sensu,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cette disposition (Besse-Matile et Abravanel, op. cit., p. 104). c) Concernant le moyen de nullité de l'art. 411 let. i CPP,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Dupuis, Monnier, Moreillon et Piguet, op. cit., n. 11.1 ad art. 411 CPP; Bersier, op. cit., p. 83; JT 1991 III 45, précité). Tel n'est pas le cas lorsque le premier juge n'a méconnu aucun des éléments de l'instruction et que, pour fixer le point litigieux, on ne peut que s'en référer à son appréciation (JT 2003 III 70, c. 2a; Bovay, Dupuis, Monnier, Moreillon et Piguet,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Bersier, op. cit., pp. 83 et 91). On précisera encore que dans le cadre du moyen de nullité de l'art. 411 let. h 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1P.598/2001 du 25 mars 2002, c. 2, ad Cass., 21 décembre 2000, n° 570; Cass., 9 mars 1999, n° 249, précité; Cass., 10 septembre 1998, n° 379; Bersier, op. cit., p. 83; Besse-Matile et Abravanel, op. cit., p. 104 et les réf. cit.). d) Quant au principe in dubio pro reo, il ne figure expressis verbis dans aucune disposition de notre ordre juridique, mais découle de la présomption d'innocence (Corboz, In dubio pro reo, in RJB 1993, pp. 403 ss, spéc. pp. 404 s.), garantie par l'art. 6 par. 2 CEDH et figurant également expressément à l'art. 32 al. 1 de la Constitution fédérale. Il concerne tant le fardeau de la preuve que l'appréciation des preuves. En tant que règle sur le fardeau de la preuve,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(ATF 120 Ia 31, c. 2c, SJ 1994, p. 541; Corboz, op. cit., pp. 415 à 420). Comme règle d'appréciation des preuves, il signifie que le juge ne doit pas se déclarer convaincu de l'existence d'un fait défavorable à l'accusé si, d'un point de vue objectif, il existe des doutes quant à l'existence de ce fait (ATF 120 Ia 31, c. 2c, SJ 1994, p. 541; Corboz, op. cit., pp. 421 à 425). A cet égard, celle-ci peut examiner les moyens de preuve au dossier, en particulier les pièces, pour déterminer s'il y a lieu de douter de l'interprétation des faits retenus par les premiers juges (JT 1983 III 91). Dans cette mesure, le principe in dubio pro reo se confond avec l'interdiction générale de l'arbitraire, prohibant une appréciation reposant sur des preuves inadéquates ou sans pertinence (Bovay, Dupuis, Monnier, Moreillon et Piguet, op. cit., n. 11.4  ad art. 411 CPP; Besse-Matile et Abravanel, op. cit., p. 102). Il existe néanmoins une nuance entre l'arbitraire dans l'appréciation des preuves et la mise en œuvre du principe in dubio pro reo.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1ss, spéc. p. 21, n. 5). e) Tel qu'il est reconnu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126 I 15 c. 2a/aa et les réf. cit.).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que la preuve résulte déjà de constatations versées au dossier,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 6c/cc; ATF 124 I 208 c. 4a).</w:t>
      </w:r>
    </w:p>
    <w:p>
      <w:r>
        <w:rPr>
          <w:b/>
        </w:rPr>
        <w:t>E. 2</w:t>
      </w:r>
    </w:p>
    <w:p>
      <w:r>
        <w:t>Le recourant reproche au tribunal d'avoir synthétisé à l'excès les fautes concurrentes de la victime et de leur avoir ainsi accordé trop peu d'importance. Cette critique est infondée. En effet, le premier juge n'a omis aucune des fautes dont fait état le recourant, à savoir que la victime circulait au guidon de son cyclomoteur sans avoir enclenché les feux de sa machine, qu'elle roulait sans être titulaire du permis de conduire nécessaire pour cyclomoteur et qu'elle était sous l'influence de produits stupéfiants. Il n'a pas non plus ignoré qu'F.________ souffrait de problèmes psychiques et d'une toxicomanie à l'héroïne (cf. jugement p. 10). Le fait que le tribunal ait synthétisé ces éléments ne viole ni le droit d'être entendu du recourant, ni le principe de la présomption d'innocence. Pour le reste, savoir si les fautes commises par F.________ et son état de santé étaient susceptibles d'interrompre le lien de causalité constitue une question de droit qui ne peut être examinée que dans le cadre d'un recours en réforme. Mal fondé, le moyen ne peut dès lors qu'être rejeté.</w:t>
      </w:r>
    </w:p>
    <w:p>
      <w:r>
        <w:rPr>
          <w:b/>
        </w:rPr>
        <w:t>E. 3</w:t>
      </w:r>
    </w:p>
    <w:p>
      <w:r>
        <w:t>R.________ fait valoir en dernier lieu que c'est à tort que le tribunal a considéré que les lésions subies par F.________ étaient en relation de causalité adéquate avec la faute qu'il a commise. Il se prévaut en l'espèce d'une rupture du lien de causalité. a) La causalité est adéquate lorsque le comportement de l'auteur est propre, d'après le cours ordinaire des choses et l'expérience de la vie, à entraîner un résultat du genre de celui qui s'est produit (ATF 127 IV 34, c. 2a). La causalité adéquate dépend d'une prévisibilité objective: il faut se demander si un tiers observateur neutre, voyant l'auteur agir dans les circonstances où il a agi, pourrait prédire que le comportement considéré aurait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 5.1 p. 147 s.). La causalité adéquate sera admise même si le comportement de l'auteur n'est pas la cause directe ou unique du résultat. Peu importe que le résultat soit dû à d'autres causes, notamment à l'état de la victime, à son comportement ou à celui de tiers (ATF 131 IV 145 c. 5.2). Il n'y aura rupture du lien de causalité adéquate, l'enchaînement des faits perdant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 5.2 i. f; 122 IV 17 c. 2c/bb et les arrêts cités). b) En l'occurrence, le recourant ne conteste pas avoir commis deux infractions graves aux règles de la circulation. Ainsi, il ne s'est pas conformé aux règles de signalisation, puisqu'il a coupé une ligne de sécurité ainsi que le virage en voulant s'engager sur la route des Granges. De plus, il a été inattentif, alors que la configuration des lieux demandait un degré accru de vigilance. En effet, s'il avait continué sa route jusqu'à la ligne de direction, sa visibilité aurait été nettement meilleure; il aurait ainsi pu remarquer le cyclomotoriste arrivant en sens inverse et lui accorder la priorité. A juste titre, le recourant ne conteste pas non plus que son comportement est en relation de causalité naturelle et adéquate avec l'accident. En effet, le fait d'avoir coupé la ligne de sécurité et pris le virage à la corde est la raison essentielle de la survenance de l'accident et est d'ailleurs propre, d'après le cours ordinaire des choses et l'expérience de la vie, à favoriser un résultat du genre de celui qui s'est produit. Le recourant soutient toutefois que le lien de causalité a été interrompu par les fautes du motocycliste et le défaut de compliance de ce dernier à son traitement médical. Certes, F.________ est à l'assurance-invalidité depuis une dizaine d'années à 80 % pour des raisons psychiques et pour une toxicomanie à l'héroïne. De plus, le soir de l'accident, il a commis plusieurs fautes. Ainsi, il circulait, à la fin du mois de novembre, vers 20 heures, au guidon de son cyclomoteur sans avoir enclenché les feux; de plus, il n'était pas titulaire du permis nécessaire pour son engin et était enfin sous l'influence de produits stupéfiants (cf. jgt, p. 10). Ces éléments ne suffisent toutefois pas à interrompre le lien de causalité adéquate entre le comportement du recourant et le résultat qui est intervenu. En effet, ils ne revêtent pas une importance telle pour s'imposer comme la cause la plus probable et la plus immédiate de l'accident et reléguer à l'arrière-plan les fautes du recourant. Mal fondé, le moyen ne peut dès lors qu'être rejeté. III. En définitive, aucun des moyens invoqués par le recourant n'est retenu. Son recours ne peut dès lors qu'être rejeté et le jugement confirmé, les frais de deuxième instance étant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