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125 vom 18. Februar 2010</w:t>
      </w:r>
    </w:p>
    <w:p>
      <w:r>
        <w:t>VD Tribunal cantonal, 2010-02-18, FR</w:t>
      </w:r>
    </w:p>
    <w:p>
      <w:r>
        <w:rPr>
          <w:b/>
        </w:rPr>
        <w:t xml:space="preserve">Quelle: </w:t>
      </w:r>
      <w:r>
        <w:t>https://mcp.opencaselaw.ch/entscheid/vd_findinfo_HC___2010___125</w:t>
      </w:r>
    </w:p>
    <w:p>
      <w:r>
        <w:t>FR: VD_FINDINFO HC / 2010 / 125 du 18 février 2010</w:t>
      </w:r>
    </w:p>
    <w:p>
      <w:r>
        <w:t>IT: VD_FINDINFO HC / 2010 / 125 del 18 febbraio 2010</w:t>
      </w:r>
    </w:p>
    <w:p>
      <w:pPr>
        <w:pStyle w:val="Heading2"/>
      </w:pPr>
      <w:r>
        <w:t>Regeste</w:t>
      </w:r>
    </w:p>
    <w:p>
      <w:r>
        <w:t>DÉPENS, TRANSACTION JUDICIAIRE | 158 al. 1 CPC, 158 CPC, 321 al. 2 CPC, 91 let. c CPC, 92 al. 1 CPC, 92 al. 2 CPC, 92 CPC, 94 al. 1 CPC, 94 al. 4 CPC, 94 CPC</w:t>
      </w:r>
    </w:p>
    <w:p>
      <w:pPr>
        <w:pStyle w:val="Heading2"/>
      </w:pPr>
      <w:r>
        <w:t>Erwägungen</w:t>
      </w:r>
    </w:p>
    <w:p>
      <w:r>
        <w:rPr>
          <w:b/>
        </w:rPr>
        <w:t>E. 1</w:t>
      </w:r>
    </w:p>
    <w:p>
      <w:r>
        <w:t>a) L'art. 94 al. 1 CPC (Code de procédure civile du 14 décembre 1966; RSV 270.11) ouvre la voie du recours au Tribunal cantonal contre la décision relative à l'adjudication des dépens, alors même que la décision au fond n'est pas attaquée. La jurisprudence a toutefois précisé que ce recours n'est ouvert que si la décision au fond est elle-même susceptible d'un recours autre qu'en nullité (JT 2001 III 2 c. 1; JT 1994 III 78; Poudret/Haldy/Tappy, Procédure civile vaudoise,</w:t>
      </w:r>
    </w:p>
    <w:p>
      <w:r>
        <w:rPr>
          <w:b/>
        </w:rPr>
        <w:t>E. 3</w:t>
      </w:r>
    </w:p>
    <w:p>
      <w:r>
        <w:t>En conclusion, le recours doit être rejeté, en application de l'art. 465 al. 1 CPC, et le prononcé confirmé. Les frais de deuxième instance de la recourante sont arrêtés à 200 fr. (art. 230 al. 1 TFJC [tarif du 4 décembre 1984 des frais judiciaires en matière civile; RSV 270.11.5]). Par ces motifs, la Chambre des recours du Tribunal cantonal, statuant à huis clos, en application de l'art. 465 al. 1 CPC, prononce : I. Le recours est rejeté. II. Le prononcé est confirmé. III. Les frais de deuxième instance de la recourante W.________ sont arrêtés à 200 fr. (deux cents francs). IV. L'arrêt motivé est exécutoire. L e président : L a greffi ère : Du 18 février 2010 Le dispositif de l'arrêt qui précède est communiqué par écrit aux intéressés. L a greffi ère : Du L'arrêt qui précède, dont la rédaction a été approuvée à huis clos, est notifié en expédition complète, par l'envoi de photocopies, à : ‑      M. Alexandre Landry (pour W.________), ‑      Me Claire Charton (pour L.________ Sàrl). La Chambre des recours considère que la valeur litigieuse est de 1'500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