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120 vom 23. Dezember 2009</w:t>
      </w:r>
    </w:p>
    <w:p>
      <w:r>
        <w:t>VD Tribunal cantonal, 2009-12-23, FR</w:t>
      </w:r>
    </w:p>
    <w:p>
      <w:r>
        <w:rPr>
          <w:b/>
        </w:rPr>
        <w:t xml:space="preserve">Quelle: </w:t>
      </w:r>
      <w:r>
        <w:t>https://mcp.opencaselaw.ch/entscheid/vd_findinfo_HC___2010___120</w:t>
      </w:r>
    </w:p>
    <w:p>
      <w:r>
        <w:t>FR: VD_FINDINFO HC / 2010 / 120 du 23 décembre 2009</w:t>
      </w:r>
    </w:p>
    <w:p>
      <w:r>
        <w:t>IT: VD_FINDINFO HC / 2010 / 120 del 23 dicembre 2009</w:t>
      </w:r>
    </w:p>
    <w:p>
      <w:pPr>
        <w:pStyle w:val="Heading2"/>
      </w:pPr>
      <w:r>
        <w:t>Regeste</w:t>
      </w:r>
    </w:p>
    <w:p>
      <w:r>
        <w:t>PEINE PRIVATIVE DE LIBERTÉ, AMENDE, RÉVOCATION DU SURSIS, CONCOURS D'INFRACTIONS, PROPORTIONNALITÉ, VOL{DROIT PÉNAL}, CONSOMMATION DE STUPÉFIANTS, LÉSION CORPORELLE SIMPLE | 47 al. 1 CP, 47 al. 2 CP, 47 CP, 49 CP, 447 al. 1 CPP, 447 al. 2 CPP, 447 CPP</w:t>
      </w:r>
    </w:p>
    <w:p>
      <w:pPr>
        <w:pStyle w:val="Heading2"/>
      </w:pPr>
      <w:r>
        <w:t>Erwägungen</w:t>
      </w:r>
    </w:p>
    <w:p>
      <w:r>
        <w:rPr>
          <w:b/>
        </w:rPr>
        <w:t>E. 1</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Code de procédure pénale du 12 septembre 1967, RSV 312.01] ; Bersier, Le recours à la Cour de cassation pénale du Tribunal cantonal en procédure vaudoise, in JT 1996 III 66, spéc. ch. 8, pp. 70 s.).</w:t>
      </w:r>
    </w:p>
    <w:p>
      <w:r>
        <w:rPr>
          <w:b/>
        </w:rPr>
        <w:t>E. 2</w:t>
      </w:r>
    </w:p>
    <w:p>
      <w:r>
        <w:t>Le recourant considère que la peine de sept mois qui lui a été infligée est arbitrairement sévère. Il reproche aux premiers juges de n'avoir pas tenu compte du fait qu'il a admis l'essentiel des faits et collaboré à l'enquête. a) Selon l'art. 47 al. 1 CP (Code pénal suisse du 21 décembre 1937, RS 311.0),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Bovay/Dupuis/Monnier/Moreillon/Piguet, Procédure pénale vaudoise, Code annoté,</w:t>
      </w:r>
    </w:p>
    <w:p>
      <w:r>
        <w:rPr>
          <w:b/>
        </w:rPr>
        <w:t>E. 3</w:t>
      </w:r>
    </w:p>
    <w:p>
      <w:r>
        <w:t>Le recourant conteste également la révocation du sursis accordé le 6 avril 2006 par le Juge d'instruction du Nord vaudois à une peine de trois mois d'emprisonnement. Il n'a cependant pris aucune conclusion tendant à la non révocation, de sorte qu'il n'y a pas lieu d'entrer en matière sur cette question (cf. supra, c. 1). Quoi qu'il en soit, le grief ne pourrait être que rejeté, dès lors que, comme vu ci-dessus, le pronostic est clairement défavorable (TF 6B_161/2009 du 7 mai 2009, c. 2.4 ; TF 6B_296/2007 du 30 août 2007, c. 1.2 ; voir également sur cette question ATF 134 IV 1 c. 4.2.2 ).</w:t>
      </w:r>
    </w:p>
    <w:p>
      <w:r>
        <w:rPr>
          <w:b/>
        </w:rPr>
        <w:t>E. 4</w:t>
      </w:r>
    </w:p>
    <w:p>
      <w:r>
        <w:t>Au vu de ce qui précède, le recours doit donc être rejeté et le jugement confirmé. Vu l'issue du recours, les frais de deuxième instance, y compris l'indemnité allouée à son défenseur d'office par 300 fr.,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