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11 vom 8. Januar 2010</w:t>
      </w:r>
    </w:p>
    <w:p>
      <w:r>
        <w:t>VD Tribunal cantonal, 2010-01-08, FR</w:t>
      </w:r>
    </w:p>
    <w:p>
      <w:r>
        <w:rPr>
          <w:b/>
        </w:rPr>
        <w:t xml:space="preserve">Quelle: </w:t>
      </w:r>
      <w:r>
        <w:t>https://mcp.opencaselaw.ch/entscheid/vd_findinfo_HC___2010___11</w:t>
      </w:r>
    </w:p>
    <w:p>
      <w:r>
        <w:t>FR: VD_FINDINFO HC / 2010 / 11 du 8 janvier 2010</w:t>
      </w:r>
    </w:p>
    <w:p>
      <w:r>
        <w:t>IT: VD_FINDINFO HC / 2010 / 11 del 8 gennaio 2010</w:t>
      </w:r>
    </w:p>
    <w:p>
      <w:pPr>
        <w:pStyle w:val="Heading2"/>
      </w:pPr>
      <w:r>
        <w:t>Regeste</w:t>
      </w:r>
    </w:p>
    <w:p>
      <w:r>
        <w:t>EXPULSION DE LOCATAIRE, LOI CANTONALE RELATIVE À LA PROCÉDURE EN MATIÈRE DE BAIL | 257d CO, 23 LPEBL, 29 LPEBL</w:t>
      </w:r>
    </w:p>
    <w:p>
      <w:pPr>
        <w:pStyle w:val="Heading2"/>
      </w:pPr>
      <w:r>
        <w:t>Erwägungen</w:t>
      </w:r>
    </w:p>
    <w:p>
      <w:r>
        <w:rPr>
          <w:b/>
        </w:rPr>
        <w:t>E. 1</w:t>
      </w:r>
    </w:p>
    <w:p>
      <w:r>
        <w:t>L'art. 23 LPEBL (loi du 18 mai 1955 sur la procédure d'expulsion en matière de baux à loyer et à ferme; RSV 221.305) ouvre un recours au Tribunal cantonal : a) lorsque le juge était incompétent ou s'est déclaré à tort incompétent; b) pour absence d'assignation régulière; c) pour violation des règles essentielles de la procédure lorsque l'informalité est de nature à influer sur le prononcé (al. 1). Il y a également recours au Tribunal cantonal pour déni de justice (art. 23 al. 2 LPEBL); celui-ci peut aboutir soit à la réforme soit à l'annulation de la décision attaquée (JT 1993 III 88, c. 2; JT 1977 III 96). Toutefois, en vertu de l'art. 274g al. 1 let. a CO,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II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2008 III 12; JT 2004 III 79). En l'espèce, déposé en temps utile, le recours est recevable en la forme. Le recourant n'a pas contesté le congé devant la commission de conciliation compétente. Le recours doit donc être examiné sous l'angle restreint de l'arbitraire. 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2008 III 12 c. 3a; JT 1993 III 88 c. 3; Gauthier, Note sur la procédure d'expulsion en matière de bail à loyer, in JT 1993 III 126). En l'espèce, l'état de fait de l'ordonnance est conforme aux pièces du dossier.</w:t>
      </w:r>
    </w:p>
    <w:p>
      <w:r>
        <w:rPr>
          <w:b/>
        </w:rPr>
        <w:t>E. 2</w:t>
      </w:r>
    </w:p>
    <w:p>
      <w:r>
        <w:t>Selon la jurisprudence, le déni de justice au sens des art. 9 Cst. et 23 al.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 3ème éd., 2002, n. 5 ad art. 356 CPC, p. 537). Il ne suffit pas que la motivation de la décision soit insoutenable; encore faut-il que celle-ci apparaisse arbitraire dans son résultat (ATF 128 I 273; 126 III 438; 125 I 166 c. 2a). Sans contester avoir eu du retard dans le paiement de son loyer, le recourant expose que sa situation financière n'est pas bonne. Il ne fait ainsi valoir aucun élément relatif à un déni de justice. En outre, le délai fixé au recourant dans l'ordonnance pour libérer son appartement n'est pas arbitrairement bref (Guignard, Procédures spéciales vaudoises, 2008, n. 2 ad art. 17 LPEBL, p. 196). Il y a par conséquent lieu de confirmer l'ordonnance entreprise.</w:t>
      </w:r>
    </w:p>
    <w:p>
      <w:r>
        <w:rPr>
          <w:b/>
        </w:rPr>
        <w:t>E. 3</w:t>
      </w:r>
    </w:p>
    <w:p>
      <w:r>
        <w:t>En définitive, le recours doit être rejeté et l'ordonnance confirmée. Les frais de deuxième instance du recourant sont arrêtés à 80 fr. (art. 230 TFJC). Par ces motifs, la Chambre des recours du Tribunal cantonal, statuant à huis clos, prononce : I. Le recours est rejeté. II. L'ordonnance est confirmée. III. Les frais de deuxième instance du recourant L.________ sont arrêtés à 80 fr. (huitante francs). IV. L'arrêt motivé est exécutoire. L e président : L e greffi er : Du 8 janvier 2010 Le dispositif de l'arrêt qui précède est communiqué par écrit aux intéressés. L e greffi er : Du L'arrêt qui précède, dont la rédaction a été approuvée à huis clos, est notifié en expédition complète, par l'envoi de photocopies, à : ‑      M. L.________, ‑      M. Jean-Marc Decollogny, aab (pour D.________). La Chambre des recours considère que la valeur litigieuse est de 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Gros-de-Vaud.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