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107 vom 16. Dezember 2009</w:t>
      </w:r>
    </w:p>
    <w:p>
      <w:r>
        <w:t>VD Tribunal cantonal, 2009-12-16, FR</w:t>
      </w:r>
    </w:p>
    <w:p>
      <w:r>
        <w:rPr>
          <w:b/>
        </w:rPr>
        <w:t xml:space="preserve">Quelle: </w:t>
      </w:r>
      <w:r>
        <w:t>https://mcp.opencaselaw.ch/entscheid/vd_findinfo_HC___2010___107</w:t>
      </w:r>
    </w:p>
    <w:p>
      <w:r>
        <w:t>FR: VD_FINDINFO HC / 2010 / 107 du 16 décembre 2009</w:t>
      </w:r>
    </w:p>
    <w:p>
      <w:r>
        <w:t>IT: VD_FINDINFO HC / 2010 / 107 del 16 dicembre 2009</w:t>
      </w:r>
    </w:p>
    <w:p>
      <w:pPr>
        <w:pStyle w:val="Heading2"/>
      </w:pPr>
      <w:r>
        <w:t>Regeste</w:t>
      </w:r>
    </w:p>
    <w:p>
      <w:r>
        <w:t>DÉFENSE D'OFFICE, DROIT À UNE AUTORITÉ INDÉPENDANTE ET IMPARTIALE, DROIT D'ÊTRE ENTENDU, FAUX TÉMOIGNAGE, APPRÉCIATION DES PREUVES, RÉVOCATION DU SURSIS, FIXATION DE LA PEINE, PRONOSTIC | 42 al. 1 CP, 46 al. 1 CP, 47 CP, 104 CPP, 351 CPP, 411 let. b CPP, 411 let. g CPP</w:t>
      </w:r>
    </w:p>
    <w:p>
      <w:pPr>
        <w:pStyle w:val="Heading2"/>
      </w:pPr>
      <w:r>
        <w:t>Erwägungen</w:t>
      </w:r>
    </w:p>
    <w:p>
      <w:r>
        <w:rPr>
          <w:b/>
        </w:rPr>
        <w:t>E. 1</w:t>
      </w:r>
    </w:p>
    <w:p>
      <w:r>
        <w:t>a) F.________ reproche tout d'abord au premier juge d'avoir refusé de lui désigner un défenseur d'office. Elle invoque implicitement le moyen tiré de l'art. 411 let. b CPP. b) Le droit d'être assisté d'un défenseur d'office découle aussi bien du droit cantonal de procédure que des art. 29 al. 3 de la Cst. (Constitution fédérale de la Confédération suisse du 18 avril 1999, RS 101) et 6 par. 3 let. c CEDH (Convention de sauvegarde des droits de l'homme et des libertés fondamentales du 4 novembre 1950, RS 0.101), qui définissent les garanties minimales en la matière. L'art. 104 CPP prévoit qu'un prévenu doit être pourvu d'un défenseur d'office lorsque la détention préventive dure depuis plus de trente jours ou dans toutes les causes où le Ministère public intervient (al. 1). Hormis ces cas, il peut être pourvu d'un défenseur d'office, même contre son gré, quand les besoins de la défense l'exigent, notamment pour des motifs tenant à sa personne ou en raison des difficultés particulières de la cause (al. 2). L'art. 104 al. 2 CPP doit être interprété à la lumière des exigences découlant des art. 29 al. 3 Cst. et 6 par. 3 let. c CEDH (JT 1996 III 173, c. 1c; ATF 116 Ia 295, c. 6). Selon la jurisprudence, le prévenu a droit à un défenseur d'office lorsque son cas présente en fait et en droit des difficultés telles qu'on ne peut raisonnablement exiger de lui qu'il les surmonte ou lorsque, au regard de la gravité de la cause, il doit s'attendre à une peine dont la durée exclut l'octroi du sursis ou à une grave mesure privative de liberté (JT 2000 III 50 et 52; ATF 122 I 49, c. 2c/bb; ATF 120 Ia 43, JT 1996 IV 53, c. 2a et les réf. cit.; Zen-Ruffinen, Article 4 Cst. féd. : le point sur l'évolution de la jurisprudence du Tribunal fédéral en matière d'assistance judiciaire, in De la Constitution, Etudes en l'honneur de Jean-François Aubert, Bâle 1996, pp. 693 ss, spéc. 697 s., n° 15). Pour déterminer si les exigences minimales de l'art. 29 al.</w:t>
      </w:r>
    </w:p>
    <w:p>
      <w:r>
        <w:rPr>
          <w:b/>
        </w:rPr>
        <w:t>E. 3</w:t>
      </w:r>
    </w:p>
    <w:p>
      <w:r>
        <w:t>a) F.________ demande l'annulation des témoignages de C.________ et de la Dresse O.________. Selon elle, ces deux personnes auraient menti. b) Aux termes de l'art. 351 CPP, s'il y a des indices qu'un témoin se rende coupable aux débats d'un faux témoignage, le président, d'office ou sur réquisition, attire son attention sur ces indices et lui explique les conséquences de son acte en l'engageant à y réfléchir (al. 1). A défaut de rétractation et si les indices lui paraissent suffisamment graves, le président fait dresser procès-verbal de la déclaration, avec mention des circonstances qui la rendent suspecte, et le tribunal dénonce le cas au juge instructeur compétent en lui envoyant une copie du procès-verbal (al. 2). Cette procédure a également lieu si une partie déclare porter plainte séance tenante (al. 3). Le tribunal peut ordonner, d'office ou sur réquisition, le renvoi de la cause (al. 4). c) En l'espèce, on remarquera tout d'abord que c'est l'accusée qui a requis l'assignation des deux témoins précités (pièce 40), de sorte qu'elle est mal venue de s'en plaindre. Au surplus, force est de constater que la recourante n'a pas porté plainte à l'audience de jugement contre ces deux témoins, ce qu'elle aurait dû faire si elle estimait que ceux-ci mentaient. Par ailleurs, c'est en vain qu'elle soutient que les témoins en question n'ont pas été exhortés à dire la vérité ni rendus attentifs aux conséquences du faux témoignage (recours, p. 1); en effet, comme on l'a vu ci-haut, si l'intéressée entendait se prévaloir d'une irrégularité relative aux débats, elle devait procéder par la voie incidente. Au demeurant, on relèvera que le tribunal est en droit de déterminer quelles mesures d'instruction sont utiles, compte tenu de l'ensemble des circonstances, et qu'il lui appartient, dès lors, d'apprécier la crédibilité des témoignages. Or, en l'occurrence, contrairement à ce que fait valoir F.________, le premier juge ne s'est pas basé uniquement sur les affirmations des deux témoins précités, mais a fondé sa conviction sur les déclarations concordantes des trois gardes-frontière Z.________, W.________ et P.________. Cela étant, les témoignages incriminés ne sont pas de nature à influer sur le jugement. Pour le surplus, s'agissant de la Dresse O.________, s'il est vrai qu'elle n'a pas participé aux faits litigieux, se limitant à pratiquer un examen radiologique sur la recourante peu après les événements afin de déterminer si celle-ci avait ingéré de la drogue, sa déposition a toutefois permis de retenir que l'accusée n'avait pas de traces de coups sur son corps et qu'elle ne s'était pas plainte de douleurs (jugt, p. 5, par. 4), contrairement à ce que cette dernière a affirmé au cours des débats en soutenant qu'elle avait été frappée à coups de pieds (jugt, p. 5, par. 2). Enfin, en déclarant qu'elle n'a pas pu être présente lors de l'audition de C.________ en cours d'enquête, F.________ invoque implicitement le moyen tiré de l'art. 411 let. g CPP. Or, le recours en nullité fondé sur cette disposition est irrecevable en tant qu'il a trait à des irrégularités de procédure antérieures à l'ordonnance de clôture d'enquête (Besse-Matile/Abravanel, op. cit., p. 102 et les réf. cit.). In casu, dans la mesure où la violation invoquée par l'accusée se rapporte à une prétendue irrégularité de procédure au stade de l'instruction, ce moyen est irrecevable et doit être écarté. Par surabondance, on relèvera que le témoin susmentionné a de toute manière été entendu en audience, de sorte que le grief soulevé par la recourante tombe à faux. En définitive, les moyens sont mal fondés et doivent être rejetés.</w:t>
      </w:r>
    </w:p>
    <w:p>
      <w:r>
        <w:rPr>
          <w:b/>
        </w:rPr>
        <w:t>E. 4</w:t>
      </w:r>
    </w:p>
    <w:p>
      <w:r>
        <w:t>a) F.________ fait valoir que le tribunal a apprécié les preuves de manière arbitraire. b) L 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La cour de céans, comme le Tribunal fédéral, n'invalide la solution retenue par le juge de la cause que lorsque celui-ci a outrepassé son pouvoir d'appréciation et a interprété les preuves de manière arbitraire.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c) En l'espèce, la recourante se borne à critiquer la version des faits retenue par le tribunal, sans expliquer en quoi celui-ci se serait trompé et aurait fait preuve d'arbitraire. Au demeurant, comme on l'a vu ci-haut (cf. ch. II.3/c supra ), le premier juge a fondé sa conviction sur les témoignages concordants des trois gardes-frontière (jugt, pp. 4 s.). Or, leurs déclarations permettent de retenir que l'intéressée a refusé de les suivre, comme elle l'a du reste elle-même admis (jugt, p. 5, par. 2), qu'elle s'est montrée agressive et qu'elle s'est livrée à des voies de fait sur les fonctionnaires en question. Face aux dénégations de la jeune femme, le tribunal a encore entendu C.________ et la Dresse O.________; tant en cours d'enquête qu'aux débats, le premier a été clair sur la manière dont F.________ s'est comportée au moment des faits, expliquant que les gardes-frontière ne l'avaient pas frappée, contrairement à ce que la prénommée avait soutenu. Ce dernier point a d'ailleurs été confirmé par les affirmations de la Dresse O.________, qui a vu la recourante quelques heures après les faits litigieux; ce témoin a en effet expliqué qu'elle n'avait constaté aucune trace de coup sur la jeune femme "qui ne pleurait pas mais paraissait seulement perturbée en raison de la situation de contrainte dans laquelle elle se trouvait" et qu'elle n'avait "pas noté que l'accusée se serait plainte de douleurs" (jugt, p. 5, par. 4). Ces appréciations sont convaincantes et fondées sur des éléments pertinents. L'intéressée ne peut de toute évidence pas conclure que les faits ont été constatés de manière arbitraire, ce d'autant plus que dans une affaire jugée en 2005, elle avait déjà nié les faits "malgré trois témoins", avant de "les reconnaître partiellement" (jugt, p. 5, par. 5). A cela s'ajoute que lorsque la recourante a été emmenée au CHUV le soir des faits incriminés, elle a refusé de se soumettre à un examen médical et de répondre aux questions (jugt, p. 5, par. 4). Vu l'attitude générale de la jeune femme, c'est à juste titre que le tribunal a conclu que sa version n'était pas crédible. Quant à l'argument selon lequel le premier juge n'a pas pris en compte la plupart des preuves que la recourante a apportées, il tombe à faux, dans la mesure où le jugement fait état, en page 3, des pièces que celle-ci a produites en audience et des témoins dont elle a requis l'assignation. Mal fondé, le moyen doit donc être rejeté et, avec lui, le recours en nullité de F.________. III. Recours en réforme 1. a) En réforme, la recourante reproche tout d'abord au tribunal d'avoir révoqué le sursis accordé par le Ministère public du canton de Genève en date du 20 septembre 2005 et d'avoir ainsi fixé une peine d'ensemble au sens de l'art. 46 CP. b)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l'article 49 CP. Il ne peut toutefois prononcer une peine privative de liberté ferme que si la peine d'ensemble atteint une durée de six mois au moins ou si les conditions prévues à l'article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Kuhn/Moreillon/Viredaz/Bichovsky, Berne 2006, p. 230).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du 30 août 2007; CASS, R., 21 mai 2007, n° 109, c. 4.2). c) En l'espèce, on ne saurait critiquer l'opinion du premier juge selon laquelle il convient de formuler un pronostic défavorable quant au comportement futur de F.________. En effet, tout d'abord, on remarquera avec le tribunal que les faits litigieux n'ont eu lieu que trois ans après la condamnation du 20 septembre 2005. Ensuite, l'attitude que l'accusée a eue à l'audience de jugement démontre qu'elle n'a pas pris conscience de la gravité et des conséquences de son acte, vu la persistance de ses dénégations. Sur ce dernier point, on rappellera que s'il est vrai que les dénégations d'un accusé n'excluent pas nécessairement un pronostic favorable, dans la mesure où il peut choisir de mentir par honte, par peur du châtiment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(CASS, M., 1 er septembre 2000, n° 481 et les réf. cit.). In casu, tant en cours d'instruction (PV aud. 1) qu'aux débats (jugt, p. 5), F.________ n'a pas hésité à rejeter la faute sur les gardes-frontière et ce, malgré les témoignages concordants de toutes les personnes entendues. Dans ces conditions, l'opinion du tribunal selon laquelle il existe un risque de récidive est parfaitement fondée. La très forte probabilité de voir la recourante commettre de nouvelles infractions permet de fonder un pronostic défavorable quant à son comportement futur. En définitive, le tribunal n'a pas excédé son pouvoir d'appréciation en révoquant le sursis accordé à F.________ le 20 septembre 2005. Mal fondé, le moyen doit dès lors être rejeté. 2. a) La recourante soutient ensuite q ue la peine de cinquante jours-amende qui lui a été infligée est excessive. Elle invoque implicitement une violation de l'art. 47 CP.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l'al. 2 de l'art.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envisagée par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des faits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 et alii, op. cit., n. 1.4 ad art. 415 CPP et les réf. cit.; ATF 129 IV 6, c. 6.1; 128 IV 73, c. 3b; 127 IV 101, c. 2c; 123 IV 150, c. 2a; 122 IV 241, c. 1a; 118 IV 21, c. 2a; 116 IV 288, c. 2b). c) En l'espèce, le tribunal a examiné les divers éléments relatifs aux antécédents et à la situation personnelle de F.________ (jugt, p. 6). Il a notamment relevé que la prénommée avait déjà eu affaire à la justice pour des actes de violence. Le premier juge a également pris en considération le déroulement des événements, en particulier le fait que l'accusée s'était comportée "comme une 'furie' face à des gardes-frontière très 'professionnels'". Sous l'angle de la gravité de la faute, le tribunal a tenu compte de l'attitude de la recourante au cours des débats, qui a persisté à nier les faits malgré l'évidence, allant jusqu'à prétendre que "les témoins mentiraient par 'peur des autorités'". Le premier juge a précisé sur ce point que l'intéressée avait déjà adopté un tel comportement lors de la précédente affaire. L'examen des divers éléments retenus par le premier juge montre que celui-ci n'est pas sorti du cadre légal en fixant la peine. De surcroît, les critères qu'il a relevés pour en arrêter le genre et la quotité sont pertinents. Cela étant, force est de constater, avec le tribunal, qu'au vu des éléments susmentionnés, la peine pécuniaire infligée à F.________ reste "modérée"; elle ne consacre aucun abus du large pouvoir d'appréciation du premier juge en la matière. La quotité du jour-amende fixée à 10 fr. doit également être confirmée, compte tenu de la situation financière de l'accusée telle qu'exposée aux pages 4 et 6 de la décision attaquée. Dès lors, le moyen est mal fondé et doit être rejeté. 3. a) La recourante estime enfin qu'une peine ferme n'est pas justifiée. b)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précité, c. 4.2.2 in fine ). c) En l'espèce, on a déjà exposé les motifs pour lesquels le tribunal a à juste titre considéré qu'un pronostic défavorable quant au comportement futur de l'accusée devait être formulé, de sorte qu'il est inutile d'y revenir ici (cf. ch. III.1/c supra ). Le moyen est donc mal fondé et ne peut qu'être rejeté. IV. En définitive, le recours de F.________ doit être rejeté et le jugement confirmé, en application de l'art. 431 al. 2 CPP. Les frais de deuxième instance seront supportés par la prénommée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