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106 vom 1. März 2010</w:t>
      </w:r>
    </w:p>
    <w:p>
      <w:r>
        <w:t>VD Tribunal cantonal, 2010-03-01, FR</w:t>
      </w:r>
    </w:p>
    <w:p>
      <w:r>
        <w:rPr>
          <w:b/>
        </w:rPr>
        <w:t xml:space="preserve">Quelle: </w:t>
      </w:r>
      <w:r>
        <w:t>https://mcp.opencaselaw.ch/entscheid/vd_findinfo_HC___2010___106</w:t>
      </w:r>
    </w:p>
    <w:p>
      <w:r>
        <w:t>FR: VD_FINDINFO HC / 2010 / 106 du 1 mars 2010</w:t>
      </w:r>
    </w:p>
    <w:p>
      <w:r>
        <w:t>IT: VD_FINDINFO HC / 2010 / 106 del 1 marzo 2010</w:t>
      </w:r>
    </w:p>
    <w:p>
      <w:pPr>
        <w:pStyle w:val="Heading2"/>
      </w:pPr>
      <w:r>
        <w:t>Regeste</w:t>
      </w:r>
    </w:p>
    <w:p>
      <w:r>
        <w:t>MESURE DE CONTRAINTE{DROIT DES ÉTRANGERS}, DÉTENTION AUX FINS D'EXPULSION, RISQUE DE FUITE |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27 janvier 2010, soit dans les vingt-quatre heures dès le moment où le recourant a été arrêté (art. 16 al. 1 LVLEtr). Il a immédiatement rendu un ordre de détention, puis sa décision motivée le lendemain, soit dans les nonante-six heures prescrites par l'art. 16 al. 1 in fine LVLEtr. Le recourant a été informé de son droit de demander la désignation d'un conseil d'office (art. 24 al. 2 LVLEtr). Un conseil d'office lui a été désigné à sa requête.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 (art. 31 al. 1 et 3 LVLEtr). Elle peut en particulier tenir compte des faits postérieurs à la décision attaquée. Les pièces produites par le SPOP sont ainsi recevables.</w:t>
      </w:r>
    </w:p>
    <w:p>
      <w:r>
        <w:rPr>
          <w:b/>
        </w:rPr>
        <w:t>E. 4</w:t>
      </w:r>
    </w:p>
    <w:p>
      <w:r>
        <w:t>Le recourant fait valoir qu'il n'a été mis au courant de la décision de l'ODM du 2 décembre 2009 que le 27 janvier 2010, à l'aéroport, et que son refus d'embarquer témoignait de sa surprise, alors qu'il séjournait en Suisse depuis pratiquement une année.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précité). En l'espèce, le recourant est dépourvu d'une autorisation de séjour et n'a pas collaboré à son renvoi en refusant le 27 janvier 2010 de prendre l'avion pour Rome dans lequel une place lui avait été réservée. Il a en outre déclaré devant le premier juge vouloir rester en Suisse. Au vu de ces éléments, il y a lieu de considérer que le recourant entend se soustraire au renvoi au sens de l'art. 76 al. 1 let. b ch. 3 et 4 LEtr. Peu importe dès lors qu'il n'ait pas commis d'infraction en Suisse. Le recourant conteste en vain devant la cour de céans avoir déposé une demande d'asile en Italie. L'examen de cette question relève de la compétence des autorités de renvoi et le moyen du recourant de fait pas apparaître la décision de renvoi comme étant manifestement nulle au sens de l'ATF 128 II 193 c. 2.2.2. Le recours doit être rejeté sur ce point.</w:t>
      </w:r>
    </w:p>
    <w:p>
      <w:r>
        <w:rPr>
          <w:b/>
        </w:rPr>
        <w:t>E. 5</w:t>
      </w:r>
    </w:p>
    <w:p>
      <w:r>
        <w:t>Les démarches nécessaires à l'exécution du renvoi sont en cours, sous la forme d'une demande de vol spécial, si bien que l'exigence de l'art. 76 al. 4 LEtr est respectée. L'exécution du renvoi ne s'avère pas d'emblée impossible pour des raisons juridiques ou matérielles (art. 80 al. 6 let. a LEtr a contrario) et elle devrait avoir lieu dans un délai raisonnable. L'ordonnance du premier juge est en conséquence bien fondée et peut être confirmée.</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1er mars 2010 Le dispositif de l'arrêt qui précède est communiqué par écrit aux intéressés. L e greffi er : Du L'arrêt qui précède, dont la rédaction a été approuvée à huis clos, est notifié en expédition complète, par l'envoi de photocopies, à : ‑      Me Laurent de Mestral (pour N.________),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