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101 vom 23. Februar 2010</w:t>
      </w:r>
    </w:p>
    <w:p>
      <w:r>
        <w:t>VD Tribunal cantonal, 2010-02-23, FR</w:t>
      </w:r>
    </w:p>
    <w:p>
      <w:r>
        <w:rPr>
          <w:b/>
        </w:rPr>
        <w:t xml:space="preserve">Quelle: </w:t>
      </w:r>
      <w:r>
        <w:t>https://mcp.opencaselaw.ch/entscheid/vd_findinfo_HC___2010___101</w:t>
      </w:r>
    </w:p>
    <w:p>
      <w:r>
        <w:t>FR: VD_FINDINFO HC / 2010 / 101 du 23 février 2010</w:t>
      </w:r>
    </w:p>
    <w:p>
      <w:r>
        <w:t>IT: VD_FINDINFO HC / 2010 / 101 del 23 febbraio 2010</w:t>
      </w:r>
    </w:p>
    <w:p>
      <w:pPr>
        <w:pStyle w:val="Heading2"/>
      </w:pPr>
      <w:r>
        <w:t>Regeste</w:t>
      </w:r>
    </w:p>
    <w:p>
      <w:r>
        <w:t>DÉTENTION AUX FINS D'EXPULSION | 76 al. 1 let. b ch. 3 LEtr, 76 al. 1 let. b ch. 4 LEtr, 80 al. 4 LEtr</w:t>
      </w:r>
    </w:p>
    <w:p>
      <w:pPr>
        <w:pStyle w:val="Heading2"/>
      </w:pPr>
      <w:r>
        <w:t>Erwägungen</w:t>
      </w:r>
    </w:p>
    <w:p>
      <w:r>
        <w:rPr>
          <w:b/>
        </w:rPr>
        <w:t>E. 1</w:t>
      </w:r>
    </w:p>
    <w:p>
      <w:r>
        <w:t>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qu'il juge utiles (art. 30 al. 1 et 2 LVLEtr). Déposé en temps utile par le recourant, qui y a intérêt, le recours est recevable (art. 30 al. 2 LVLEtr). Il sera tenu compte des pièces nouvelles produites par les parties dans la procédure de recours.</w:t>
      </w:r>
    </w:p>
    <w:p>
      <w:r>
        <w:rPr>
          <w:b/>
        </w:rPr>
        <w:t>E. 2</w:t>
      </w:r>
    </w:p>
    <w:p>
      <w:r>
        <w:t>Le juge de paix, autorité compétente (art. 17 LVLEtr), a procédé à l'audition du recourant, assisté de son conseil, le 19 janvier 2010 et a rendu sa décision motivée dans les nonante-six heures (art. 16 LVLEtr). Les propos du recourant ont été résumés (art. 21 al. 2 LVLEtr). La décision de prolongation est intervenue avant l'expiration de la détention initiale de trois mois, qui courait depuis le 26 octobre 2009 (ATF 128 II 241). La procédure est en ordre.</w:t>
      </w:r>
    </w:p>
    <w:p>
      <w:r>
        <w:rPr>
          <w:b/>
        </w:rPr>
        <w:t>E. 3</w:t>
      </w:r>
    </w:p>
    <w:p>
      <w:r>
        <w:t>La décision confirmée par l'arrêt rendu le 26 novembre 2009 par la cour de céans de mettre en détention le recourant était fondée sur le fait que des éléments concrets faisaient craindre que celui-ci entendait se soustraire au renvoi ou à l'expulsion (art. 76 al. 1 let. a LEtr) et que son comportement permettait de conclure qu'il se refusait à obtempérer aux instructions des autorités (art. 76 al. 1 let. b LEtr). Aux termes de l'art. 76 al. 3 LEtr, si des obstacles particuliers s'opposent à l'exécution du renvoi ou de l'expulsion, la détention prononcée pour l'un des motifs visés à l'art. 76 al. 1 let. a et b ch. 1 à 4 LEtr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 3a p. 374, 377 c. 2a p. 379), que l'exécution du renvoi soit momentanément impossible (p.ex. faute de papiers d'identité), tout en restant envisageable dans un délai prévisible (TF 2C_256/2008 du 4 avril 2008 c. 7.1). En l'espèce, le recourant ne remet pas en cause les motifs pour lesquels il a été placé en détention. A juste titre du reste, puisque toute son argumentation montre qu'il n'a aucune intention de quitter la Suisse et d'obtempérer aux décisions rendues par les autorités compétentes en matière de police des étrangers. Au surplus, il suffit de renvoyer aux considérations développées dans l'arrêt rendu le 26 novembre 2009 par la cour de céans à cet égard, qui sont toujours d'actualité.</w:t>
      </w:r>
    </w:p>
    <w:p>
      <w:r>
        <w:rPr>
          <w:b/>
        </w:rPr>
        <w:t>E. 4</w:t>
      </w:r>
    </w:p>
    <w:p>
      <w:r>
        <w:t>Le recourant fait valoir que la détention est disproportionnée, dès lors qu'il a reconnu l'enfant [...], qu'il a eu avec son amie [...], elle-même détentrice d'un permis F et qu'il a entrepris des démarches en vue de son mariage avec cette dernière. Selon l'art. 80 aI. 4 LEtr, lorsqu'elle examine la décision de détention, l'autorité judiciaire tient notamment compte de la situation familiale de la personne détenue. Dans des cas particuliers, le principe de la proportionnalité peut s'opposer à la détention, lorsque la situation familiale de l'intéressé est caractérisée par une très forte détresse découlant des états de santé des conjoints, en particulier lorsque la séparation des conjoints résultant de la détention peut avoir des conséquences irréversibles parce que l'un et l'autre risquent de passer à l'acte suicidaire. Dans de tels cas, l'intérêt privé à éviter des actes irréversibles prédomine sur l'intérêt public à prendre des mesures en vue de faciliter le renvoi (CREC II, 5 octobre 2006/690). En l'espèce, le recourant n'invoque pas de telles circonstances extraordinaires. Au demeurant, comme l'a déjà relevé la cour de céans dans son arrêt du 26 novembre 2009 concernant le recourant (no 235/II c. 7), le fait que le renvoi soit susceptible de séparer définitivement ce dernier de son enfant n'est pas pertinent pour juger de la licéité de la détention, étant par ailleurs relevé qu'entre-temps une demande de réexamen fondée sur les relations familiales entre lui-même, [...] et [...] a été rejetée sur recours par  arrêt du 15 décembre 2009 du Tribunal administratif fédéral. Cette dernière autorité a notamment considéré que le recourant n'avait pas démontré l'existence de relations familiales intactes et sérieusement vécues entre ces personnes. Quant à un futur mariage, il ne rend inadmissible la détention en vue de renvoi que si l'intéressé peut compter sur la délivrance d'une autorisation de séjour à bref délai, ce qui n'est pas le cas lorsque la date de mariage n'est pas fixée (TF 2C_575/2008 du 1er septembre 2008 c. 5.5. et réf.). En l'espèce, le recourant n'a fait qu'entamer les premières démarches en vue de mariage, en ce sens que l'état civil lui a envoyé le 14 janvier 2010 un formulaire de demande d'ouverture d'un dossier de mariage portant le numéro 1384 (pièce 2 produite en recours). Il ne prétend pas que la date d'un mariage soit fixée, ni même qu'il aurait renvoyé à ce jour ce formulaire dûment rempli et produit toutes les pièces nécessaires à un prochain mariage. Les conditions jurisprudentielles pour une levée de détention ne sont dès lors pas réalisées.</w:t>
      </w:r>
    </w:p>
    <w:p>
      <w:r>
        <w:rPr>
          <w:b/>
        </w:rPr>
        <w:t>E. 5</w:t>
      </w:r>
    </w:p>
    <w:p>
      <w:r>
        <w:t>Le recourant invoque ses problèmes de santé, notamment d'apnée de sommeil, sans faire valoir cependant de nouveaux éléments par rapport à ceux déjà  invoqués dans la précédente procédure de recours. Comme déjà exposé dans l'arrêt du 26 novembre 2009 (c. 8), de tels problèmes de santé ne sont pas incompatibles avec la détention et peuvent être traités au besoin par un médecin dans le cadre de l'établissement de détention.</w:t>
      </w:r>
    </w:p>
    <w:p>
      <w:r>
        <w:rPr>
          <w:b/>
        </w:rPr>
        <w:t>E. 6</w:t>
      </w:r>
    </w:p>
    <w:p>
      <w:r>
        <w:t>Le recourant fait enfin valoir une violation du principe de célérité. Dans une lettre du 13 janvier 2010, le SPOP a exposé avoir requis l'inscription du recourant à bord du prochain vol spécial pour Kinshasa, dont l'ODM lui a indiqué qu'il aurait lieu au cours de la deuxième quinzaine du mois de février 2010 [ou début mars 2010, selon le rapport de détention du 22 janvier  2010]. La préparation d'un tel vol spécial est également attestée par un message électronique expédié le 17 décembre 2009 par l'administration fédérale. Rien ne permet de mettre en doute le fait que les autorités compétentes mettent tout en œuvre en vue du départ du recourant à bref délai. Dans ces conditions, le renvoi paraît pouvoir être effectué dans le délai maximal de détention et les démarches en vue de son exécution se poursuivent sans discontinuer, après le refus du recourant d'embarquer sur le vol qui lui avait été réservé pour le 4 novembre 2009 (art. 76 al. 4 LEtr). Dans la mesure où ces démarches peuvent prendre un certain temps, cela est imputable au refus du recourant de prendre le vol qui lui avait été réservé (CREC II du 26 novembre 2009 c. 9). Dans tous les cas, les démarches se poursuivent dans le respect du principe de diligence.</w:t>
      </w:r>
    </w:p>
    <w:p>
      <w:r>
        <w:rPr>
          <w:b/>
        </w:rPr>
        <w:t>E. 7</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23 février 2010 Le dispositif de l'arrêt qui précède est communiqué par écrit aux intéressés. L e greffi er : Du L'arrêt qui précède, dont la rédaction a été approuvée à huis clos, est notifié en expédition complète, par l'envoi de photocopies, à : ‑      Me Laurent Gilliard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