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96 vom 14. April 2009</w:t>
      </w:r>
    </w:p>
    <w:p>
      <w:r>
        <w:t>VD Tribunal cantonal, 2009-04-14, FR</w:t>
      </w:r>
    </w:p>
    <w:p>
      <w:r>
        <w:rPr>
          <w:b/>
        </w:rPr>
        <w:t xml:space="preserve">Quelle: </w:t>
      </w:r>
      <w:r>
        <w:t>https://mcp.opencaselaw.ch/entscheid/vd_findinfo_HC___2009___96</w:t>
      </w:r>
    </w:p>
    <w:p>
      <w:r>
        <w:t>FR: VD_FINDINFO HC / 2009 / 96 du 14 avril 2009</w:t>
      </w:r>
    </w:p>
    <w:p>
      <w:r>
        <w:t>IT: VD_FINDINFO HC / 2009 / 96 del 14 aprile 2009</w:t>
      </w:r>
    </w:p>
    <w:p>
      <w:pPr>
        <w:pStyle w:val="Heading2"/>
      </w:pPr>
      <w:r>
        <w:t>Regeste</w:t>
      </w:r>
    </w:p>
    <w:p>
      <w:r>
        <w:t>MESURE PROVISIONNELLE, VICE DE PROCÉDURE, COMPÉTENCE, PROTECTION DE L'UNION CONJUGALE | 369 CPC, 444 al. 1 ch. 1 CPC, 444 al. 1 ch. 3 CPC</w:t>
      </w:r>
    </w:p>
    <w:p>
      <w:pPr>
        <w:pStyle w:val="Heading2"/>
      </w:pPr>
      <w:r>
        <w:t>Erwägungen</w:t>
      </w:r>
    </w:p>
    <w:p>
      <w:r>
        <w:rPr>
          <w:b/>
        </w:rPr>
        <w:t>E. 1</w:t>
      </w:r>
    </w:p>
    <w:p>
      <w:r>
        <w:t>La décision de rayer du rôle une procédure d'appel constitue un jugement principal, dès lors qu'elle met fin à l'instance. La jurisprudence admet la recevabilité du recours en nullité de l'art. 444 al. 1 ch. 3 CPC (Code de procédure civile du 14 décembre 1966; RSV 270.11) contre une ordonnance de mesures provisionnelles - dans les cas où elle n'est pas susceptible d'appel - ou contre un arrêt sur appel de mesures provisionnelles (Poudret/Haldy/Tappy, Procédure civile vaudoise,</w:t>
      </w:r>
    </w:p>
    <w:p>
      <w:r>
        <w:rPr>
          <w:b/>
        </w:rPr>
        <w:t>E. 3</w:t>
      </w:r>
    </w:p>
    <w:p>
      <w:r>
        <w:t>Il s'ensuit que le recours doit être écarté. Les frais de la recourante sont arrêtés à 300 fr. (art. 233 TFJC) et l'intimé a droit à des dépens, par 1'200 francs. Par ces motifs, la Chambre des recours du Tribunal cantonal, statuant à huis clos, prononce : I. Le recours est écarté. II. Les frais de la recourante sont arrêtés à 300 fr. (trois cents francs). III. La recourante E.________ doit verser à l'intimé Y.________ la somme de 1'200 fr. (mille deux cents francs) à titre de dépens pour la procédure devant la Chambre des recours. IV. L'arrêt motivé est exécutoire. L e président : L a greffi ère : Du 14 avril 2009 Le dispositif de l'arrêt qui précède est communiqué par écrit aux intéressés. L a greffi ère : Du L'arrêt qui précède, dont la rédaction a été approuvée à huis clos, est notifié en expédition complète, par l'envoi de photocopies, à : ‑      Me Jean-Emmanuel Rossel (pour E.________), ‑      Me Michel Chevalley (pour Y.________).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