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75 vom 21. Juli 2009</w:t>
      </w:r>
    </w:p>
    <w:p>
      <w:r>
        <w:t>VD Tribunal cantonal, 2009-07-21, FR</w:t>
      </w:r>
    </w:p>
    <w:p>
      <w:r>
        <w:rPr>
          <w:b/>
        </w:rPr>
        <w:t xml:space="preserve">Quelle: </w:t>
      </w:r>
      <w:r>
        <w:t>https://mcp.opencaselaw.ch/entscheid/vd_findinfo_HC___2009___75</w:t>
      </w:r>
    </w:p>
    <w:p>
      <w:r>
        <w:t>FR: VD_FINDINFO HC / 2009 / 75 du 21 juillet 2009</w:t>
      </w:r>
    </w:p>
    <w:p>
      <w:r>
        <w:t>IT: VD_FINDINFO HC / 2009 / 75 del 21 luglio 2009</w:t>
      </w:r>
    </w:p>
    <w:p>
      <w:pPr>
        <w:pStyle w:val="Heading2"/>
      </w:pPr>
      <w:r>
        <w:t>Regeste</w:t>
      </w:r>
    </w:p>
    <w:p>
      <w:r>
        <w:t>DÉFENSE D'OFFICE | 104 CPP, 435 CPP</w:t>
      </w:r>
    </w:p>
    <w:p>
      <w:pPr>
        <w:pStyle w:val="Heading2"/>
      </w:pPr>
      <w:r>
        <w:t>Volltext</w:t>
      </w:r>
    </w:p>
    <w:p>
      <w:r>
        <w:t>Vaud Tribunal cantonal Cour de cassation pénale 21.07.2009 HC / 2009 / 75</w:t>
      </w:r>
    </w:p>
    <w:p>
      <w:r>
        <w:t>DÉFENSE D'OFFICE | 104 CPP, 435 CPP</w:t>
      </w:r>
    </w:p>
    <w:p>
      <w:r>
        <w:t>TRIBUNAL CANTONAL 290 PE08.004113/TDE/gru LE PRESIDENT DE LA COUR DE CASSATION PENALE ________________________________________________ Arrêt du 21 juillet 2009 ________________ Du 1 er juillet 2009 ________________ Présidence de   M. Creux , président Greffier : M.        Valentino ***** Art. 104 et 435 CPP Vu le prononcé du 16 juin 2009 par lequel le Président du Tribunal d'arrondissement de Lausanne a rejeté préjudiciellement la demande de relief formée le 12 juin 2009 par T.________ à l'encontre du jugement rendu par défaut le 25 septembre 2008 par le Tribunal correctionnel de l'arrondissement de Lausanne, vu la déclaration de recours déposée le 18 juin 2009 par le prénommé à l'encontre de la décision précitée, vu la requête de désignation d'un défenseur d'office formée à la même date par l'intéressé, vu les pièces du dossier; attendu que le condamné qui recourt peut se voir désigner un défenseur d'office si les besoins de la défense l'exigent (art. 435 al. 1 CPP, Code de procédure pénale du 12 septembre 1967, RSV 312.01), attendu que la disposition précitée doit être interprétée à la lumière des exigences découlant des art. 29 al. 3 Cst. (Constitution fédérale du 18 avril 1999, RS 101) et 6 ch. 3 let. c CEDH (Convention de sauvegarde des droits de l'homme et des libertés fondamentales du 4 novembre 1950, RS 0.101; JT 1996 III 173, c. 1c; ATF 116 Ia 295, c. 6), que,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 2c/bb; ATF 120 Ia 43, JT 1996 IV 53, c. 2a et les références citées; Zen-Ruffinen, Article 4 Cst. féd. : le point sur l'évolution de la jurisprudence du Tribunal fédéral en matière d'assistance judiciaire, in De la Constitution, Etudes en l'honneur de Jean-François Aubert, Bâle 1996, pp. 693 ss, spéc. 697 s., n° 15), que, pour déterminer si les exigences minimales de l'art. 29 al. 3 Cst. sont remplies , l'ensemble des circonstances concrètes doit être apprécié dans chaque cas,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précité; JT 1993 III 21; ATF 115 Ia 103, c. 4, JT 1991 IV 23; JT 1989 III 28); attendu, en l'espèce, qu'il est reproché à T.________ de ne pas avoir pris connaissance du jugement rendu par défaut le 25 septembre 2008 par le Tribunal correctionnel de l'arrondissement de Lausanne, alors qu'il avait signé, en date du 30 avril 2008, l'élection de domicile et savait qu'à défaut d'une telle élection chez une personne de confiance, son domicile était réputé élu au greffe du Tribunal d'arrondissement de Lausanne et que, par conséquent, il ne pouvait, conformément à l'art. 48 al. 1 CPP, se prévaloir du défaut de significations qui devraient lui être faites, que la cause est simple et ne présente pas de difficultés particulières en fait ou en droit, que le requérant parle le français, qu'il est capable de se défendre efficacement seul, qu'au surplus, aucune circonstance particulière ne rend l'intervention d'un avocat indispensable à ce stade, qu'ainsi, les conditions posées par la jurisprudence à la désignation d'un défenseur d'office ne sont pas réunies, que, partant, la requête formulée dans ce sens par T.________ doit être rejetée; attendu que le présent arrêt doit être rendu sans frais. Par ces motifs, la Cour de cassation pénale, statuant à huis clos, prononce : I. Rejette la demande de désignation d'un défenseur d'office formée par T.________. II. Déclare le présent arrêt, rendu sans frais, exécutoire. L e président : L e greffi er : Du L'arrêt qui précède, dont la rédaction a été approuvée à huis clos, est notifié à : ‑      M. T.________, ‑      M. le Procureur général du canton de Vaud, et communiqué à : ‑      M. le Président du Tribunal d'arrondissement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