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73 vom 1. Juli 2009</w:t>
      </w:r>
    </w:p>
    <w:p>
      <w:r>
        <w:t>VD Tribunal cantonal, 2009-07-01, FR</w:t>
      </w:r>
    </w:p>
    <w:p>
      <w:r>
        <w:rPr>
          <w:b/>
        </w:rPr>
        <w:t xml:space="preserve">Quelle: </w:t>
      </w:r>
      <w:r>
        <w:t>https://mcp.opencaselaw.ch/entscheid/vd_findinfo_HC___2009___73</w:t>
      </w:r>
    </w:p>
    <w:p>
      <w:r>
        <w:t>FR: VD_FINDINFO HC / 2009 / 73 du 1 juillet 2009</w:t>
      </w:r>
    </w:p>
    <w:p>
      <w:r>
        <w:t>IT: VD_FINDINFO HC / 2009 / 73 del 1 luglio 2009</w:t>
      </w:r>
    </w:p>
    <w:p>
      <w:pPr>
        <w:pStyle w:val="Heading2"/>
      </w:pPr>
      <w:r>
        <w:t>Regeste</w:t>
      </w:r>
    </w:p>
    <w:p>
      <w:r>
        <w:t>EXPULSION DE LOCATAIRE, PROLONGATION DU DÉLAI | 257d al. 1 CO, 257d al. 2 CO, 457 al. 1 CPC, 23 al. 2 LPEBL, 23 LPEBL</w:t>
      </w:r>
    </w:p>
    <w:p>
      <w:pPr>
        <w:pStyle w:val="Heading2"/>
      </w:pPr>
      <w:r>
        <w:t>Erwägungen</w:t>
      </w:r>
    </w:p>
    <w:p>
      <w:r>
        <w:rPr>
          <w:b/>
        </w:rPr>
        <w:t>E. 1</w:t>
      </w:r>
    </w:p>
    <w:p>
      <w:r>
        <w:t>L'art. 23 al. 1 LPEBL (Loi du 18 mai 1955 sur la procédure d'expulsion en matière de baux à loyer et à ferme; RSV 221.305) ouvre un recours au Tribunal cantonal contre les prononcés du juge de paix rendus en application de cette loi lorsque le juge était incompétent ou s'est déclaré à tort incompétent (let. a), lorsque l'assignation n'a pas été régulière (let. b) ou lorsque les règles essentielles de la procédure ont été violées et que l'informalité est de nature à influer sur le prononcé (let. c). Il y a également recours au Tribunal cantonal pour déni de justice (art. 23 al. 2 LPEBL); ce recours peut aboutir soit à la réforme soit à l'annulation de la décision attaquée (JT 2004 III 43, consid. 1a).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2004 III 79). En l'espèce, la commission de conciliation n'a pas été saisie. La cour de céans dispose donc d'un pouvoir d'examen en droit limité à l'arbitraire (art. 23 al. 2 LPEBL). D'un point de vue factuel, la cour de céans dispose d'un pouvoir d'examen défini par l'art. 457 CPC ( Code de procédure civile du 14 décembre 1966; RSV 270.11 ; applicable en vertu du renvoi de l'art. 29 LPEBL) de telle sorte qu'elle doit admettre comme constants les faits constatés par le jugement, sauf contradiction avec les pièces du dossier et sous réserve du complètement sur la base de celui-ci (art. 457 al. 1 CPC; JT 1993 III 88, consid. 3).</w:t>
      </w:r>
    </w:p>
    <w:p>
      <w:r>
        <w:rPr>
          <w:b/>
        </w:rPr>
        <w:t>E. 2</w:t>
      </w:r>
    </w:p>
    <w:p>
      <w:r>
        <w:t>L 'art.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 Pour réclamer le paiement de 520 fr. à titre d'arriéré de loyer pour novembre 2008, l'intimé a adressé par recommandé du 27 novembre 2008 au recourant une mise en demeure signifiant qu'à défaut de paiement dans les trente jours, le bail serait résilié. Faute de paiement, l'intimé a signifié au recourant, par avis officiel sous pli recommandé du 16 janvier 2009, que le bail était résilié pour le 28 février 2009. Le recourant n'a pas contesté l'existence d'un arriéré à l'origine de la mise en demeure ni n'a démontré s'en être acquitté dans le délai imparti. Par ailleurs, il ne résulte pas du certificat médical qu'il a produit à l'appui de son recours que le recourant aurait été incapable de se présenter à l'audience du juge de paix du 28 avril 2009. Son droit d'être entendu n'a donc pas été violé. Dans ces conditions, c'est à juste titre que le premier juge a prononcé l'expulsion. Le délai qu'il a fixé pour la libération des locaux est conforme à celui généralement admis par la jurisprudence et ne prête pas le flanc à la critique (cf. Guignard, in Procédures spéciales vaudoises, Lausanne 2008, n. 2 ad art. 17 LPEBL, p. 196).</w:t>
      </w:r>
    </w:p>
    <w:p>
      <w:r>
        <w:rPr>
          <w:b/>
        </w:rPr>
        <w:t>E. 3</w:t>
      </w:r>
    </w:p>
    <w:p>
      <w:r>
        <w:t>En conclusion, le recours doit être rejeté et l'ordonnance confirmée. Les frais de deuxième instance, fixés à 150 fr. doivent être supportés par le recourant (art. 230 al. 1 TFJC [Tarif du 4 décembre 1984 des frais judiciaires en matière civile; RSV 270.11.5]). Le recourant doit payer à l'intimé la somme de 50 fr. à titre de dépens de deuxième instance (art. 4 Tag [Tarif des honoraires d'agent d'affaires breveté dus à titre de dépens; RSV 179.11.3]). Par ces motifs, la Chambre des recours du Tribunal cantonal, statuant à huis clos, prononce : I. Le recours est rejeté. II. L'ordonnance est confirmée. III. Les frais de deuxième instance du recourant sont arrêtés à 150 fr. (cent cinquante francs). IV. Le recourant L.________ doit verser à l'intimé R.________ la somme de 50 fr. (cinquante francs) à titre de dépens de deuxième instance. V. L'arrêt motivé est exécutoire. L e président : L e greffi er : Du 1 juillet 2009 Le dispositif de l'arrêt qui précède est communiqué par écrit aux intéressés. L e greffi er : Du L'arrêt qui précède, dont la rédaction a été approuvée à huis clos, est notifié à : ‑      M. L.________, ‑      Mme Geneviève Gehrig (pour R.________). La Chambre des recours considère que la valeur litigieuse est de 1'560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