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68 vom 3. Juni 2009</w:t>
      </w:r>
    </w:p>
    <w:p>
      <w:r>
        <w:t>VD Tribunal cantonal, 2009-06-03, FR</w:t>
      </w:r>
    </w:p>
    <w:p>
      <w:r>
        <w:rPr>
          <w:b/>
        </w:rPr>
        <w:t xml:space="preserve">Quelle: </w:t>
      </w:r>
      <w:r>
        <w:t>https://mcp.opencaselaw.ch/entscheid/vd_findinfo_HC___2009___68</w:t>
      </w:r>
    </w:p>
    <w:p>
      <w:r>
        <w:t>FR: VD_FINDINFO HC / 2009 / 68 du 3 juin 2009</w:t>
      </w:r>
    </w:p>
    <w:p>
      <w:r>
        <w:t>IT: VD_FINDINFO HC / 2009 / 68 del 3 giugno 2009</w:t>
      </w:r>
    </w:p>
    <w:p>
      <w:pPr>
        <w:pStyle w:val="Heading2"/>
      </w:pPr>
      <w:r>
        <w:t>Regeste</w:t>
      </w:r>
    </w:p>
    <w:p>
      <w:r>
        <w:t>LIBÉRATION CONDITIONNELLE | 86 CP</w:t>
      </w:r>
    </w:p>
    <w:p>
      <w:pPr>
        <w:pStyle w:val="Heading2"/>
      </w:pPr>
      <w:r>
        <w:t>Erwägungen</w:t>
      </w:r>
    </w:p>
    <w:p>
      <w:r>
        <w:rPr>
          <w:b/>
        </w:rPr>
        <w:t>E. 1</w:t>
      </w:r>
    </w:p>
    <w:p>
      <w:r>
        <w:t>Depuis le 1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let.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sont remplies en l'espèce. Le recours est ainsi recevable.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Il doit être considéré que le recours tend à la réforme du jugement en ce sens que la libération conditionnelle est accordée au condamné avec effet immédiat.</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Tout pronostic constitue une prévision au sujet de laquelle on ne peut exiger une certitude absolue; il faut donc se contenter d'une certaine probabilité, un risque de récidive ne pouvant être complètement exclu (ATF 98 1b 106 c. 1b, JT 1973 IV 30, rés.; ATF 119 IV 5, c. 1b; Logoz, Commentaire du Code pénal suisse, 2ème éd., Neuchâtel et Paris 1976, n° 4a ad art. 38 CP; Maire, op. cit.,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ATF 125 IV 113; ATF 6B_72/2007 et les arrêts cités).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l'égide du nouveau droit (Cass. D., 21 juillet 2008, n° 282).</w:t>
      </w:r>
    </w:p>
    <w:p>
      <w:r>
        <w:rPr>
          <w:b/>
        </w:rPr>
        <w:t>E. 2.2</w:t>
      </w:r>
    </w:p>
    <w:p>
      <w:r>
        <w:t>En l'espèce, le recourant est éligible à la libération conditionnelle depuis le 5 juin 2009. Le Juge d'application des peines a d'abord constaté le comportement globalement favorable du condamné en prison, élément qui ne suffit évidemment pas à la libération conditionnelle.</w:t>
      </w:r>
    </w:p>
    <w:p>
      <w:r>
        <w:rPr>
          <w:b/>
        </w:rPr>
        <w:t>E. 2.3</w:t>
      </w:r>
    </w:p>
    <w:p>
      <w:r>
        <w:t>Pour le surplus, plusieurs éléments permettent de tenir le pronostic sur l'avenir du recourant pour défavorable en l'état. Il doit d'abord être déterminé si l'intéressé s'est amendé. A cet égard, que la reconnaissance de la faute ne soit pas indispensable ne signifie pas qu'elle ne joue aucun rôle. L'amendement est au contraire un élément pertinent (cf. ATF 119 IV 5, c. 1b; 104 IV 281, c. 2; arrêt 6B_72/2007, précité, c. 4.5). L'intéressé a grossièrement minimisé la gravité des faits à raison desquels il avait été condamné. En outre, il s'est prévalu de ce qu'il n'avait pas commis de délit durant une année et a, nonobstant quatre condamnations, contesté être un récidiviste. De plus, il n'a pas manifesté d'intérêt pour les activités socio-éducatives proposées en prison. Au vu de ces faits, c'est à juste titre que l'autorité de première instance a mis en exergue l'absence complète d'amendement et d'introspection chez le condamné. De même, au vu des multiples dénégations de l'intéressé quant à des propos pourtant lourds de sens qu'il avait tenus durant l'enquête, c'est également par une correcte appréciation des faits que le premier juge n'a pas ajouté foi aux regrets exprimés par ailleurs. D'où un pronostic particulièrement réservé pour ce qui est de l'effet de la peine. Ensuite, le pronostic est également défavorable en raison de la situation économique de l'intéressé. En effet, le recourant n'a aucun statut ni moyen d'existence durable en Suisse. Etabli en France, il a vécu d'expédients et de travaux précaires, insuffisants pour combler ses besoins essentiels et ceux de sa famille. Sachant qu'il n'envisage pas de changer de mode de vie, il présente dès lors un risque notable de réitération d'infractions, tant en Suisse qu'en France, voire également dans des Etats tiers. Sans être exceptionnellement élevée, sa dangerosité n'en est donc pas moins significative. Elle ne sera nullement diminuée par une libération conditionnelle. Le pronostic à émettre quant au comportement futur de l'intéressé est ainsi également défavorable.</w:t>
      </w:r>
    </w:p>
    <w:p>
      <w:r>
        <w:rPr>
          <w:b/>
        </w:rPr>
        <w:t>E. 2.4</w:t>
      </w:r>
    </w:p>
    <w:p>
      <w:r>
        <w:t>A ceci s'ajoute que, pour ce qui est des effets futurs de l'exécution intégrale de la peine opposés à ceux d'une libération conditionnelle, le risque de réitération - qui apparaît élevé, comme indiqué ci-dessus - ne sera pas réduit par une libération anticipée. En effet, les éléments qui avaient mené le recourant à la délinquance perdureront à l'identique s'il est libéré conditionnellement, à tout le moins après l'épuisement du pécule.</w:t>
      </w:r>
    </w:p>
    <w:p>
      <w:r>
        <w:rPr>
          <w:b/>
        </w:rPr>
        <w:t>E. 2.5</w:t>
      </w:r>
    </w:p>
    <w:p>
      <w:r>
        <w:t>Au vu de ce qui précède, c'est à juste titre que le Juge d'application des peines a refusé la libération conditionnelle à Q.________.</w:t>
      </w:r>
    </w:p>
    <w:p>
      <w:r>
        <w:rPr>
          <w:b/>
        </w:rPr>
        <w:t>E. 3</w:t>
      </w:r>
    </w:p>
    <w:p>
      <w:r>
        <w:t>En définitive, le recours doit être rejeté et le jugement confirmé. Vu l'issue de recours, les frais de deuxième instance sont mis à la charge du recourant, conformément à l'article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