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66 vom 14. Juli 2009</w:t>
      </w:r>
    </w:p>
    <w:p>
      <w:r>
        <w:t>VD Tribunal cantonal, 2009-07-14, FR</w:t>
      </w:r>
    </w:p>
    <w:p>
      <w:r>
        <w:rPr>
          <w:b/>
        </w:rPr>
        <w:t xml:space="preserve">Quelle: </w:t>
      </w:r>
      <w:r>
        <w:t>https://mcp.opencaselaw.ch/entscheid/vd_findinfo_HC___2009___66</w:t>
      </w:r>
    </w:p>
    <w:p>
      <w:r>
        <w:t>FR: VD_FINDINFO HC / 2009 / 66 du 14 juillet 2009</w:t>
      </w:r>
    </w:p>
    <w:p>
      <w:r>
        <w:t>IT: VD_FINDINFO HC / 2009 / 66 del 14 luglio 2009</w:t>
      </w:r>
    </w:p>
    <w:p>
      <w:pPr>
        <w:pStyle w:val="Heading2"/>
      </w:pPr>
      <w:r>
        <w:t>Regeste</w:t>
      </w:r>
    </w:p>
    <w:p>
      <w:r>
        <w:t>ACTE DE RECOURS, OBSERVATION DU DÉLAI, DÉLAI DE RECOURS, RESTITUTION DU DÉLAI, DÉCISION D'IRRECEVABILITÉ | 33 CPC, 37 al. 1 CPC, 458 al. 2 CPC, 464 CPC</w:t>
      </w:r>
    </w:p>
    <w:p>
      <w:pPr>
        <w:pStyle w:val="Heading2"/>
      </w:pPr>
      <w:r>
        <w:t>Volltext</w:t>
      </w:r>
    </w:p>
    <w:p>
      <w:r>
        <w:t>Vaud Tribunal cantonal Chambre des recours civile 14.07.2009 HC / 2009 / 66</w:t>
      </w:r>
    </w:p>
    <w:p>
      <w:r>
        <w:t>ACTE DE RECOURS, OBSERVATION DU DÉLAI, DÉLAI DE RECOURS, RESTITUTION DU DÉLAI, DÉCISION D'IRRECEVABILITÉ | 33 CPC, 37 al. 1 CPC, 458 al. 2 CPC, 464 CPC</w:t>
      </w:r>
    </w:p>
    <w:p>
      <w:r>
        <w:t>TRIBUNAL CANTONAL 119/II CHAMBRE DES RECOURS ________________________________ Arrêt du 14 juillet 2009 __________________ Présidence de   M. Denys , président Juges : MM. Battistolo et Giroud Greffier : Mme Cardinaux ***** Art. 33, 37 al. 1, 458 al. 2 , 464 CPC Vu le jugement rendu le 4 mai 2009 par la Présidente du Tribunal civil de l'arrondissement de Lausanne dans la cause en divorce divisant I.________ , demandeur, à La Coruna (Espagne), d'avec H.________ , défenderesse, à Renens, vu le recours interjeté le 19 mai 2009 par I.________, contre ce jugement, vu les autres pièces du dossier; attendu que, selon l'art. 458 al. 2 CPC (Code de procédure civile vaudoise du 14 décembre 1966; RSV 270.11), le recours doit être déposé dans les dix jours dès la notification du jugement, qu'en l'espèce, le jugement a été notifié le 7 mai 2009 à I.________, que le délai de recours venait à échéance le 18 mai 2009, que, selon l'avis de la poste, le recours adressé à la Présidente du tribunal n'a été posté en Suisse que le 19 mai 2009, qu'un délai n'est respecté que si l'acte a été, au plus tard le dernier jour du délai, remis à un bureau de poste suisse ou, à l'étranger, à une représentation diplomatique ou consulaire (art. 33 CPC), que le recours est donc tardif;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conformément à l'article 464 CPC, le Président de la Chambre des recours a, par avis du 3 juin 2009, imparti au recourant un délai de trois semaines dès réception du pli pour fournir toutes explications utiles sur la tardiveté de son recours et faire élection de domicile à une adresse vaudoise (art. 73 CPC), que, dans sa lettre du 18 juin 2009, le recourant expose que le jugement de divorce, "retiré à la poste en Suisse par [sa] fille", lui est parvenu en Espagne le 22 mai 2009, et se réfère à sa requête en modification de ce jugement, qu'un tel motif ne constitue pas un empêchement de force majeure, au sens de l'art. 37 al. 1 CPC, justifiant le retard dans le dépôt du recours, qu'en conséquence, le recours, tardif, est irrecevable et doit être écarté, que si le recourant entend obtenir la modification du jugement de divorce, il doit saisir le Président du Tribunal d'arrondissement d'une requête en bonne et due forme, l'assistance d'un avocat étant recommandée; attendu que le présent arrêt peut être rendu sans frais. Par ces motifs, la Chambre des recours du Tribunal cantonal, statuant à huis clos, prononce : I. Le recours est écarté. II. L'arrêt, rendu sans frais, est exécutoire. Le président : La greffière : Du L'arrêt qui précède, dont la rédaction a été approuvée à huis clos, est notifié à : ‑      M . I.________, ‑      M me H.________.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Lausanne, -      M. I.________, p. a.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