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59 vom 4. März 2009</w:t>
      </w:r>
    </w:p>
    <w:p>
      <w:r>
        <w:t>VD Tribunal cantonal, 2009-03-04, FR</w:t>
      </w:r>
    </w:p>
    <w:p>
      <w:r>
        <w:rPr>
          <w:b/>
        </w:rPr>
        <w:t xml:space="preserve">Quelle: </w:t>
      </w:r>
      <w:r>
        <w:t>https://mcp.opencaselaw.ch/entscheid/vd_findinfo_HC___2009___59</w:t>
      </w:r>
    </w:p>
    <w:p>
      <w:r>
        <w:t>FR: VD_FINDINFO HC / 2009 / 59 du 4 mars 2009</w:t>
      </w:r>
    </w:p>
    <w:p>
      <w:r>
        <w:t>IT: VD_FINDINFO HC / 2009 / 59 del 4 marzo 2009</w:t>
      </w:r>
    </w:p>
    <w:p>
      <w:pPr>
        <w:pStyle w:val="Heading2"/>
      </w:pPr>
      <w:r>
        <w:t>Regeste</w:t>
      </w:r>
    </w:p>
    <w:p>
      <w:r>
        <w:t>ACTION EN PAIEMENT D'ENTRETIEN | 277 al. 2 CC, 452 CPC, 456a CPC</w:t>
      </w:r>
    </w:p>
    <w:p>
      <w:pPr>
        <w:pStyle w:val="Heading2"/>
      </w:pPr>
      <w:r>
        <w:t>Erwägungen</w:t>
      </w:r>
    </w:p>
    <w:p>
      <w:r>
        <w:rPr>
          <w:b/>
        </w:rPr>
        <w:t>E. 1</w:t>
      </w:r>
    </w:p>
    <w:p>
      <w:r>
        <w:t>L'enfant majeur agit lui-même contre le débiteur de l'entretien (art. 289 al. 1 CC; Meier/Stettler, Droit civil suisse, Droit de la filiation, 4 ème éd., 2009, n. 1101 p. 634; cf. ATF 129 III 55, JT 2002 I 210, FamPra 2003 p. 421). Le président du tribunal d'arrondissement du domicile de l'une des parties au jour du dépôt de la demande (art. 17 litt. a LFors [loi fédérale du 24 mars 2000 sur les fors en matière civile, RS 272]) est compétent (art. 4 ch. 15 LVCC [loi du 30 novembre 1910 d'introduction dans le Canton de Vaud du Code civil suisse, RSV 211.01]) pour statuer sur la contribution d'entretien en faveur d'un enfant majeur (art. 277 al. 2 CC [Code civil suisse du 10 décembre 1907, RS 210]). Il applique la procédure sommaire (art. 20 al. 1 ch. 3 LVCC; JT 2006 III 4 note 2).</w:t>
      </w:r>
    </w:p>
    <w:p>
      <w:r>
        <w:rPr>
          <w:b/>
        </w:rPr>
        <w:t>E. 2</w:t>
      </w:r>
    </w:p>
    <w:p>
      <w:r>
        <w:t>Contre un jugement rendu par un président du tribunal d'arrondissement statuant comme juge unique (art. 376 al. 2 litt. b CPC [Code de procédure civile du 14 décembre 1966, RSV 270.11]) en procédure accélérée (art. 319 CPC), les recours en nullité (art. 444 et 445 CPC) et en réforme (art. 451 ch. 3 CPC) sont ouverts. Saisie d'un recours en nullité, la Chambre des recours n'examine que les moyens dûment développés. L'énonciation séparée des moyens de nullité est une condition de recevabilité du recours en nullité (Poudret/Haldy/Tappy, Procédure civile vaudoise, 3 ème éd., 2002, n. 2 ad art. 465 CPC, p. 722). La recourante principale invoque à l'appui de son recours en nullité le grief d'appréciation arbitraire des preuves. Vu le libre pouvoir d'examen en fait conféré à la Chambre des recours par les art. 452 et 456a CPC dans le cadre du recours en réforme, celle-ci est à même de corriger un éventuel vice dans l'appréciation des preuves dans le cadre de ce recours, de sorte que ce grief est irrecevable en nullité, voie de droit subsidiaire (Poudret/Haldy/Tappy, op. cit., n. 14 ad art. 444 CPC, pp. 655-656).</w:t>
      </w:r>
    </w:p>
    <w:p>
      <w:r>
        <w:rPr>
          <w:b/>
        </w:rPr>
        <w:t>E. 3</w:t>
      </w:r>
    </w:p>
    <w:p>
      <w:r>
        <w:t>Déposés en temps utile par des parties qui y ont intérêt, les recours en réforme principal et joint (art. 466 al. 1 er CPC) sont recevables. Saisie d'un recours en réforme contre un jugement principal rendu, comme en l'espèce, en procédure accélérée par un président de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nouvelle administration des preuves déjà administrées en première instance (JT 2003 III 3). En matière de contribution d'entretien pour un enfant majeur (art. 277 al. 2 CC), la cour de céans a considéré que la maxime inquisitoire imposée par l'art. 280 al. 2 CC n'imposait pas à la cour de céans de s'écarter des limites posées par les art. 452 al. 1ter et 456a CPC, dite contribution ne nécessitant pas le même besoin de protection que celle due à l'enfant mineur (Ch. rec., 20 mars 2009, no 51/II; JT 2006 III 3).</w:t>
      </w:r>
    </w:p>
    <w:p>
      <w:r>
        <w:rPr>
          <w:b/>
        </w:rPr>
        <w:t>E. 4</w:t>
      </w:r>
    </w:p>
    <w:p>
      <w:r>
        <w:t>En l'espèce, l'état de fait du jugement est conforme aux pièces du dossier et aux autres preuves administrées. La Chambre des recours le fait sien, après l'avoir complété par les éléments suivants : La recourante principale relève à juste titre que le premier juge n'a pas tenu compte du 13 ème salaire du défendeur. Ce dernier ne conteste pas l'existence de ce 13 ème salaire (voir mémoire d'intimé, p. 6 en haut). Il faut donc ajouter 8,33 % au revenu mensuel du défendeur. Dans la mesure où la déduction de l'impôt à la source concerne aussi le 13 ème salaire, le revenu déterminant du défendeur (cf. p. 5 du jugement en haut) s'élève donc à 4'778 fr. (4'411 fr. 45 + 8,33%) au lieu de 4'411 francs 45. Il ressort des pièces produites en deuxième instance que les impôts du couple en France s'élèvent à 4'605 euros par an (1'100 [sans la taxe tv] + 1'117 + 2'388), soit 7'000 francs. Les salaires des deux époux étant très proches, il convient de diviser cette charge en deux, comme le tribunal et le défendeur l'ont d'ailleurs fait pour les autres postes. La charge fiscale du défendeur s'élève donc à 287 francs.</w:t>
      </w:r>
    </w:p>
    <w:p>
      <w:r>
        <w:rPr>
          <w:b/>
        </w:rPr>
        <w:t>E. 5</w:t>
      </w:r>
    </w:p>
    <w:p>
      <w:r>
        <w:t>La recourante principale remet en cause le montant de la pension fixée par le premier juge (600 fr.) et demande qu'elle soit augmentée à 900 francs. a)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En l'espèce, le premier juge a analysé de manière approfondie les conditions d'application de cette disposition telles qu'elles ont été définies par la jurisprudence et la doctrine. La cour de céans se réfère à cette analyse en ajoutant ce qui suit : la jurisprudence a précisé que le devoir d'entretien des père et mère de l'enfant est destiné à donner à ce dernier la possibilité d'acquérir une formation professionnelle, à savoir les connaissances qui lui permettront de gagner sa vie dans un domaine correspondant à ses goûts et à ses aptitudes (art. 302 al. 2 CC; Meier/Stettler, op. cit., n. 1079, pp. 621-622). La formation tend donc à l'acquisition de ce qui est nécessaire pour que l'enfant puisse se rendre autonome par la pleine exploitation de ses capacités, soit pour faire face par ses propres ressources aux besoins matériels de la vie (ATF 117 II 372, c. 5b, JT 1994 I 563; TF 5C.40/2004 du 5 mai 2004 c. 4.1). Elle doit être achevée dans les délais normaux, ce qui implique que l'enfant doit s'y consacrer avec zèle ou, en tout cas, avec bonne volonté, sans toutefois faire preuve de dispositions exceptionnelles. La doctrine (Meier/Stettler, op. cit., n. 1082, p. 623 et n. 1086, p. 625) et la jurisprudence de la cour de céans (Ch. rec., 7 août 2006 no 626/II c. 4a) n'exigent plus que la formation soit commencée ou planifiée avant la majorité. La loi n'impose pas l'assistance a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(ATF 117 II 127, c. 3b, JT 1992 I 285; TF 5C.40/2004 précité). L'obligation d'achever ses études dans des "délais normaux" ne vise pas l'âge auquel la formation doit être achevée, mais uniquement la progression de celle-ci une fois entreprise. L'élément déterminant pour appréhender le "délai normal" de la formation est dès lors davantage de savoir si le déroulement de cette dernière correspond à un rythme normal que si elle est susceptible d'être achevée à l'âge où une formation de ce type l'est généralement (ATF 107 II 406, c. 2b; Henriod, L'obligation d'entretien à l'égard des enfants majeurs, thèse Lausanne 1999, p. 102). S'il n'y a plus de relations personnelles entre les parents et l'enfant majeur, les premiers ne peuvent se soustraire à leur obligation d'entretien que si le second se soustrait lui-même, de manière coupable, aux devoirs d'aide, d'égards et de respect qu'il a envers ses père et mère. Les relations entre parents divorcés et enfants sont en général complexes et il est particulièrement difficile de dégager à cet égard la responsabilité des uns et des autres (ATF 120 II 177; ATF 113 II 374). Encore faut-il que le parent débiteur se soit, de son côté, comporté correctement envers son enfant (TF 5C 270/2002 du 29 mars 2003, in RDT 2003 p. 125). Dans le cas particulier, le premier juge a retenu que la recourante principale était en train de refaire sa troisième année de gymnase. Au vu de la jurisprudence précitée, il a estimé à juste titre qu'il était important qu'elle puisse terminer cette formation, qui lui donnera plus de possibilités de choix pour sa carrière professionnelle proprement dite (jgt, p. 7) et c'est à bon droit qu'il n'a pas refusé de lui octroyer une pension au motif qu'elle avait redoublé une année de gymnase. S'agissant de l'inexistence des liens entre père et fille, on ne peut que suivre le premier juge; la tension résulte visiblement de beaucoup d'éléments dont la recourante n'est de toute évidence pas seule responsable. Preuve en est, comme le relève le premier juge (jgt, p. 7), le qualificatif de "fille de cœur" utilisé avec insistance par l'intimé pendant l'audience pour parler de [...], la fille de son épouse actuelle, démontrant le "détachement éprouvé par B.T.________ vis-à-vis de sa fille de sang" qui "ne pouvait qu'être mal ressenti par celle-ci". b) Une contribution d'entretien après la majorité ne peut être mise à la charge des parents que s'ils sont capables de l'assumer, sachant qu'ils n'ont pas, comme durant la minorité de l'enfant, à partager tous leurs moyens avec lui, mais seulement ce qui reste une fois qu'ils ont subvenu à leur propre entretien (Hegnauer, Berner Kommentar, 1997, n. 102 ad art. 277 CC, p. 258); cette contribution doit se situer dans un rapport d'équité entre ce que l'on peut raisonnablement exiger de chaque parent et de l'enfant majeur (Meier/Stettler, op. cit., n. 1090, p. 627).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127 I 202 c. 3e p. 207; ATF 118 II 97 c. 4b/aa pp. 99-100). Comme les père et mère doivent être traités d'une manière égale quant à l'estimation de leur capacité financière, la règle du minimum vital élargi et augmenté vaut aussi pour l'autre parent. En l'espèce, le premier juge a retenu un minimum vital de 2'742 francs auxquels s'ajoutent les impôts payés en France par 287 fr. (voir c. 4 ci-dessus), soit 3'029 fr. Si l'on augmente ce montant de 20% (l'augmentation de 20% n'est pas limitée au seul montant de base en cette matière), on arrive à 3'634 francs Compte tenu d'un revenu de 4778 fr., 13 ème salaire compris (voir c. 3b ci-dessus let. bc), le disponible est de 1'144 francs. En considération du taux de 15%, la pension correspond à 716 francs (4'778 fr. x 15%), que l'on peut arrondir à 720 fr. Il n'y a pas de motif de s'écarter de ce taux : si les 15% sont fixés en principe pour de jeunes enfants et avec des paliers en fonction des besoins grandissants des enfants, il faut aussi tenir compte à l'inverse que la contribution d'entretien envers l'enfant majeur ne peut être mise à charge des parents que s'ils sont capables de l'assumer, sachant qu'ils n'ont pas, comme durant la minorité de l'enfant, à partager tous leurs moyens avec lui mais seulement ce qui reste une fois qu'ils ont subvenu à leur propre entretien (Hegnauer, Berner Kommentar, n. 102 ad 277 CC). Le montant de la contribution doit se situer dans un rapport d'équité entre ce que l'on peut raisonnablement exiger de chaque parent et de l'enfant majeur, comme vu ci-dessus (Meier/Stettler, loc. cit.). On doit aussi tenir compte de ce que la recourante principale pourrait subvenir partiellement à son entretien par une activité accessoire, ne serait-ce qu'en été pendant les vacances universitaires. c) Enfin, comme le requiert la recourante principale, la limitation de la durée de la contribution d'entretien mentionnée au chiffre I du dispositif du jugement attaqué ("mais au plus tard jusqu'à ses 25 ans révolus") doit être supprimée, car même si la durée de la contribution d'entretien de l'enfant majeur doit être fixée dans le dispositif du jugement (Henriod, op. cit., pp. 162-163 et jurisprudence citée), il n'existe en droit civil aucune "limitation temporelle absolue de l'obligation d'entretien au moment où l'enfant atteint l'âge de 25 ans" (ATF 130 V 237).</w:t>
      </w:r>
    </w:p>
    <w:p>
      <w:r>
        <w:rPr>
          <w:b/>
        </w:rPr>
        <w:t>E. 6</w:t>
      </w:r>
    </w:p>
    <w:p>
      <w:r>
        <w:t>Il reste à examiner la question des dépens de première instance. Le recourant par voie de jonction conclut à l'allocation de 1'000 fr. de dépens à la charge de la recourante principale. L'art. 92 al. 1 CPC prévoit que les dépens sont alloués à la partie qui a obtenu l'adjudication de ses conclusions.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la recourante principale a obtenu gain de cause sur le principe et partiellement sur le montant. Elle demandait 900 fr. de pension et se voit allouer la somme de 720 fr. Elle a donc droit à des dépens en remboursement de ses frais de justice et à titre de participation aux honoraires de son conseil. Le montant de 1'000 fr. de dépens alloué par le premier juge est adéquat et peut être confirmé. Le recours joint de B.T.________ doit en conséquence être rejeté.</w:t>
      </w:r>
    </w:p>
    <w:p>
      <w:r>
        <w:rPr>
          <w:b/>
        </w:rPr>
        <w:t>E. 7</w:t>
      </w:r>
    </w:p>
    <w:p>
      <w:r>
        <w:t>En conclusion, le recours principal doit être partiellement admis et le recours joint rejeté. Le jugement est réformé au chiffre I de son dispositif en ce sens que B.T.________ contribuera à l'entretien de A.T.________ par le régulier versement d'un montant mensuel de 720 fr., éventuelles allocations familiales ou de formation en sus, payable d'avance le premier de chaque mois, en mains de A.T.________, dès le 1 er juillet 2008 et jusqu'à l'achèvement de sa formation professionnelle dans des délais normaux. Les frais de deuxième instance de la recourante principale sont arrêtés à 300 fr. et ceux du recourant par voie de jonction à 200 francs. Le recourant par voie de jonction versera à la recourante principale la somme de 950 fr. à titre de dépens de deuxième instance. Par ces motifs, la Chambre des recours du Tribunal cantonal, statuant à huis clos, prononce : I. Le recours principal est partiellement admis et le recours joint est rejeté. II. Le jugement est réformé comme suit au chiffre I de son dispositif : I. Dit que B.T.________ contribuera à l'entretien de A.T.________ par le régulier versement d'un montant mensuel de 720 fr. (sept cent vingt francs), éventuelles allocations familiales ou de formation en sus, payable d'avance le premier de chaque mois, en mains de A.T.________, dès le 1 er juillet 2008 et jusqu'à l'achèvement de sa formation professionnelle dans des délais normaux. Le jugement est confirmé pour le surplus. III. Les frais de deuxième instance de la recourante principale sont arrêtés à 300 fr. (trois cents francs) et ceux du recourant par voie de jonction à      200 fr. (deux cents francs). IV. Le recourant par voie de jonction B.T.________ versera à la recourante principale A.T.________ la somme de 950 fr. (neuf cent cinquante francs) à titre de dépens de deuxième instance. V. L'arrêt motivé est exécutoire. Le président : La greffière : Du 4 mars 2009 Le dispositif de l'arrêt qui précède est communiqué par écrit aux intéressés. La greffière : Du L'arrêt qui précède, dont la rédaction a été approuvée à huis clos, est notifié en expédition complète, par l'envoi de photocopies, à : ‑      M e Pierre-Yves Brandt (pour A.T.________), -      M e Thierry de Mestral (pour B.T.________).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