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56 vom 3. April 2009</w:t>
      </w:r>
    </w:p>
    <w:p>
      <w:r>
        <w:t>VD Tribunal cantonal, 2009-04-03, FR</w:t>
      </w:r>
    </w:p>
    <w:p>
      <w:r>
        <w:rPr>
          <w:b/>
        </w:rPr>
        <w:t xml:space="preserve">Quelle: </w:t>
      </w:r>
      <w:r>
        <w:t>https://mcp.opencaselaw.ch/entscheid/vd_findinfo_HC___2009___56</w:t>
      </w:r>
    </w:p>
    <w:p>
      <w:r>
        <w:t>FR: VD_FINDINFO HC / 2009 / 56 du 3 avril 2009</w:t>
      </w:r>
    </w:p>
    <w:p>
      <w:r>
        <w:t>IT: VD_FINDINFO HC / 2009 / 56 del 3 aprile 2009</w:t>
      </w:r>
    </w:p>
    <w:p>
      <w:pPr>
        <w:pStyle w:val="Heading2"/>
      </w:pPr>
      <w:r>
        <w:t>Regeste</w:t>
      </w:r>
    </w:p>
    <w:p>
      <w:r>
        <w:t>FARDEAU DE LA PREUVE, APPRÉCIATION DES PREUVES | 8 CC, 444 CPC, 465 al. 1 CPC</w:t>
      </w:r>
    </w:p>
    <w:p>
      <w:pPr>
        <w:pStyle w:val="Heading2"/>
      </w:pPr>
      <w:r>
        <w:t>Erwägungen</w:t>
      </w:r>
    </w:p>
    <w:p>
      <w:r>
        <w:rPr>
          <w:b/>
        </w:rPr>
        <w:t>E. 1</w:t>
      </w:r>
    </w:p>
    <w:p>
      <w:r>
        <w:t>CPC (Code de procédure civile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Le recours en matière civile est ouvert au Tribunal fédéral contre les décisions finales (art. 90 LTF, loi du 17 juin 2005 sur le Tribunal fédéral, RS 173.110 ) rendues en matière civile (art. 72 al. 1 LTF) par une autorité cantonale de dernière instance (art. 75 al. 1 LTF) pour autant que la valeur litigieuse de 30'000 fr. soit atteinte (art. 74 al. 1 let. b LTF), respectivement la valeur litigieuse de 15'000 fr. en matière de droit du travail et de droit du bail à loyer (art. 74 al. 1 let. a LTF). Le jugement attaqué a été rendu dans un procès en épuration de l'état des charges au sens de l'art. 140 LP (loi fédérale du 11 avril 1889 sur la poursuite pour dettes et la faillite, RS 281.1; cf. jgt p. 18 al. 4; Gilliéron, Commentaire de la loi fédérale sur la poursuite pour dettes et la faillite, n. 158 ad art. 140 LP, p. 697), dressé par l'Office des poursuites de Nyon-Rolle dans le cadre de la réalisation des gages concernés par les poursuites intentées par l'intimée contre la recourante. Cet état des charges concerne en l'espèce l'immeuble propriété de la prénommée et mentionne notamment deux créances découlant de cédules hypothécaires détenues par l'intimée, d'un capital respectivement de 1'040'000 fr. et 370'000 francs. Le litige porte en particulier sur les intérêts de ces deux créances et le point de départ des intérêts portés à l'état des charges : la créancière prétend à un intérêt de 8 % sur l'une des cédules (361'457 fr. 75) et de 10 % sur l'autre cédule (143'272 fr. 25), alors que la débitrice soutient que cet intérêt devrait être inférieur aux taux précités. Comme le relève le jugement attaqué (p. 18 en bas), c'est le juge compétent en raison de la valeur litigieuse qui statue dans un tel procès (art. 41 al. 3 LVLP, loi du 18 mai 1955 d'application dans le canton de Vaud de la loi sur la poursuite pour dettes et la faillite, RSV 280.05; cf. aussi Gilliéron, op. cit., n. 160 ad art. 140 LP, p. 697). En l'espèce, la valeur litigieuse est supérieure à 100'000 fr. (cf. jgt p. 19 al. 1). Le procès en épuration de l'état des charges est une contestation civile régie par le droit fédéral matériel (Gilliéron, op. cit., nn. 158 et 159 ad art. 140 LP, p. 697). Le recours en matière civile est donc ouvert au Tribunal fédéral. En outre, la Cour civile a appliqué le droit fédéral uniquement, et non en concurrence avec le droit cantonal ou le droit étranger. Par conséquent, dans la mesure où le recours tend à la réforme du jugement de la Cour civile, il est irrecevable et doit être écarté. On relèvera à ce sujet que les conclusions du mémoire sous la rubrique "principalement" sont des conclusions de réforme, nonobstant le chiffre 2, qui tend à ce que le jugement soit annulé.</w:t>
      </w:r>
    </w:p>
    <w:p>
      <w:r>
        <w:rPr>
          <w:b/>
        </w:rPr>
        <w:t>E. 2</w:t>
      </w:r>
    </w:p>
    <w:p>
      <w:r>
        <w:t>En revanche, le recours en nullité pour appréciation arbitraire des preuves est recevable. L'art. 444 al. 1 CPC ouvre la voie du recours en nullité devant le Tribunal cantonal contre tout jugement principal d'une autorité judiciaire quelconque en particulier pour violation des règles essentielles de la procédure. A teneur de l'art. 444 al. 2 CPC,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(art. 43 de l'ancienne loi fédérale d'organisation judiciaire), il pouvait l'être dans le recours en nullité cantonal (JT 2001 III 128). La LTF a remplacé le recours en réforme par le recours en matière civile (cf. art. 72 ss LTF); dans le cadre de ce nouveau recours, le grief de la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al. 2 LTF), il serait pour le moins paradoxal de prendre prétexte de l'entrée en vigueur de la LTF pour supprimer une possibilité de recours cantonal répondant pour partie à une exigence que la LTF formule (TF A_451/2008 du 18 novembre 2008 c. 1 et réf.). La Chambre des recours n'entre en matière que sur les moyens de nullité invoqués (Poudret/Haldy/Tappy, Procédure civile vaudoise,</w:t>
      </w:r>
    </w:p>
    <w:p>
      <w:r>
        <w:rPr>
          <w:b/>
        </w:rPr>
        <w:t>E. 3</w:t>
      </w:r>
    </w:p>
    <w:p>
      <w:r>
        <w:t>a) En pages 2 à 10 (chiffres 1 à 45) de son mémoire, la recourante relate différents faits sans développer aucun moyen de nullité. Dans le chapitre intitulé "motifs" de son mémoire (pp. 10 à 15), la recourante rappelle la doctrine et la jurisprudence relatives à l'art. 5 al. 3 CPC et aux art. 104 ss CO (Code des obligations du 30 mars 1911, RS 220) (mémoire pp. 10, 11 et 12 al. 2 à 3). Ces considérations ne contiennent aucun moyen de nullité. Ce n'est qu'à partir de l'alinéa 2 de la page 12 de son mémoire que la recourante soulève des griefs sur lesquels il y a lieu d'entrer en matière. La recourante soutient tout d'abord qu'en retenant un taux d'intérêt de 8 %, respectivement de 10 % sur les créances cédulaires figurant dans l'état des charges, les premiers juges ne se sont pas conformés à l'art. 104 al. 2 CO (mémoire p. 12 al. 5). Ce grief, qui relève du droit matériel fédéral, comme semble d'ailleurs le reconnaître la recourante puisqu'elle soutient que cette violation doit conduire à la réforme du jugement, est irrecevable dans le cadre d'un recours en nullité. Toujours s'agissant des taux de 8 % et 10 % retenus par les premiers juges, la recourante cite l'ATF 126 III 189 (mémoire p. 13 al. 3), un article publié au JT 2008 II 3 (Denys, Cédule hypothécaire et mainlevée) (mémoire p. 13 al. 4), et un jugement de la Cour civile de 2004 (mémoire p. 13 al. 5 et 14 al. 1), qui concernent le droit matériel et qui sont donc sans pertinence dans le cadre d'un recours en nullité. La recourante fait valoir une violation du fardeau de la preuve et une appréciation arbitraire des preuves en ce qui concerne les taux de 8 % et 10 % retenus par le jugement (mémoire pp. 12 à 14), ainsi qu'en ce qui concerne le dies a quo pour le calcul des intérêts (mémoire pp. 14 et 15 ch. 4). S'agissant de la violation du fardeau de la preuve, la recourante soutient que dans la mesure où l'autorité de première instance a retenu un taux supérieur "à celui qui avait été convenu" (mémoire p. 12 al. 4), respectivement un taux supérieur à 5 % qui est celui de l'intérêt moratoire, les premiers juges ont violé les règles concernant le fardeau de la preuve, soit l'art. 8 CC, selon lequel chaque partie doit, si la loi ne prescrit pas le contraire, prouver les faits qu'elle allègue pour en déduire un droit. La recourante invoque une violation du fardeau de la preuve en relation avec les art. 73 et 104 CO, autrement dit des normes de droit matériel fédéral. En ce cas, la violation du fardeau de la preuve invoquée découle bien de l'art. 8 CC et non de l'art. 29 al. 2 Cst. (TF 5A_403/2007 du 25 octobre 2007 c. 3.1 in fine). Or, l'application de l'art. 8 CC, qui relève du droit matériel fédéral, ne saurait être revue dans le cadre d'un recours en nullité. Le grief est donc irrecevable. Pour les mêmes motifs, le grief tiré d'une violation du fardeau de la preuve en relation avec le dies a quo des intérêts retenu par les premiers juges est également irrecevable. En ce qui concerne le grief tiré de l'appréciation arbitraire des preuves, la recourante n'indique pas quelle preuve aurait été appréciée de manière arbitraire, ni quel fait allégué la Cour civile n'aurait pas retenu en raison de cette appréciation arbitraire des preuves. Le moyen doit être rejeté dans la mesure où il est recevable. Pour le surplus, la recourante n'invoque pas d'autre moyen reconnaissable et dûment exposé à l'appui de son recours en nullité.</w:t>
      </w:r>
    </w:p>
    <w:p>
      <w:r>
        <w:rPr>
          <w:b/>
        </w:rPr>
        <w:t>E. 4</w:t>
      </w:r>
    </w:p>
    <w:p>
      <w:r>
        <w:t>En définitive, le recours doit être rejeté dans la mesure où il est recevable, en application de l'art. 465 al. 1 CPC, et le jugement maintenu. Les frais de deuxième instance de la recourante sont arrêtés à 13'152 fr. (art. 232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maintenu. III. Les frais de deuxième instance de la recourante Y.________ sont arrêtés à 13'152 fr. (treize mille cent cinquante-deux francs). IV. L'arrêt motivé est exécutoire. L e président : L a greffi ère : Du 3 avril 2009 Le dispositif de l'arrêt qui précède est communiqué par écrit aux intéressés. L a greffi ère : Du L'arrêt qui précède, dont la rédaction a été approuvée à huis clos, est notifié en expédition complète, par l'envoi de photocopies, à : ‑      Me Aba Neeman (pour Y.________), ‑      Me Alain Dubuis (pour banque N.________). La Chambre des recours considère que la valeur litigieuse est de 1'285'266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au palais.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