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491 vom 18. November 2009</w:t>
      </w:r>
    </w:p>
    <w:p>
      <w:r>
        <w:t>VD Tribunal cantonal, 2009-11-18, FR</w:t>
      </w:r>
    </w:p>
    <w:p>
      <w:r>
        <w:rPr>
          <w:b/>
        </w:rPr>
        <w:t xml:space="preserve">Quelle: </w:t>
      </w:r>
      <w:r>
        <w:t>https://mcp.opencaselaw.ch/entscheid/vd_findinfo_HC___2009___491</w:t>
      </w:r>
    </w:p>
    <w:p>
      <w:r>
        <w:t>FR: VD_FINDINFO HC / 2009 / 491 du 18 novembre 2009</w:t>
      </w:r>
    </w:p>
    <w:p>
      <w:r>
        <w:t>IT: VD_FINDINFO HC / 2009 / 491 del 18 novembre 2009</w:t>
      </w:r>
    </w:p>
    <w:p>
      <w:pPr>
        <w:pStyle w:val="Heading2"/>
      </w:pPr>
      <w:r>
        <w:t>Regeste</w:t>
      </w:r>
    </w:p>
    <w:p>
      <w:r>
        <w:t>OBLIGATION D'ENTRETIEN, ENFANT, MAXIME INQUISITOIRE, MAXIME OFFICIELLE, ÉGALITÉ DE TRAITEMENT, REVENU HYPOTHÉTIQUE, MODIFICATION{EN GÉNÉRAL} | 145 al. 1 CC, 285 al. 1 CC, 286 al. 2 CC</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Le recourant conclut subsidiairement à l'annulation du jugement et invoque une violation de son droit d'être entendu en ce sens que le premier juge n'a pas instruit suffisamment les conditions justifiant qu'on lui impute un revenu hypothétique et qu'il n'a pas mentionné dans le jugement, le résultat de l'instruction sur la capacité contributive de l'intimée. Le premier grief relève de la violation de la maxime inquisitoire imposée en la matière par l'art. 145 al. 1 CC (Code civil du 10 décembre 1907; RS 210), qui peut être corrigée dans le cadre du recours en réforme, vu le pouvoir d'examen de la cour de céans en matière de contribution d'entretien pour enfants. Quant au second grief, il peut également être corrigé dans le cadre du recours en réforme, dès lors que la cour de céans peut compléter l'état de fait du jugement sur la base des pièces du dossier (art. 452 al. 1 ter CPC). Dès lors qu'ils sont subsidiaires au recours en réforme et qu'ils peuvent être corrigés dans le cadre de ce recours, les griefs susmentionné sont irrecevables en nullité (cf. Poudret/Haldy/Tappy, Procédure civile vaudoise, 3 ème éd., 2002, n. 14 ad art. 444 CPC pp. 655-656 et références). Il convient dès lors d'examiner le recours en réforme.</w:t>
      </w:r>
    </w:p>
    <w:p>
      <w:r>
        <w:rPr>
          <w:b/>
        </w:rPr>
        <w:t>E. 3</w:t>
      </w:r>
    </w:p>
    <w:p>
      <w:r>
        <w:t>Saisie d'un recours en réforme contre un jugement principal rendu par un président de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modification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la pièce produite par le recourant en deuxième instance est recevable. Il s'agit du formulaire de détermination du minimum vital d'existence du couple du recourant, établi le 10 juin 2009 par l'Office des poursuites de Morges-Aubonne, dont il ressort notamment qu'au vu du salaire du recourant de 970 fr. 10 par mois et d'un minimum vital pour la famille de 5'581 fr., le recourant doit assumer les 13,54 % de ce minimum, soit 755 fr. 73 et dispose ainsi d'une quotité saisissable de 214 fr. 37. Quant à l'état de fait du jugement, il est conforme aux pièces du dossier et aux autres preuves administrées. Il convient toutefois de le compléter comme il suit : - Il ressort du jugement de divorce du 24 janvier 2001 (pièce n° 1 du bordereau du demandeur du 3 décembre 2007) que le recourant a été déclaré en faillite le 15 décembre 1999, exerçant jusqu'alors une activité indépendante. Le recourant fait grief au premier juge de n'avoir pas retenu qu'il avait été licencié de son poste d'agent de sécurité en raison d'antécédents pénaux et qu'il n'a pas exercé le métier de monteur en chauffage depuis vingt ans et de n'avoir pas instruit ces questions. Les éléments en cause ne ressortent pas du dossier et il incombait en premier lieu au recourant de soumettre au premier juge les faits déterminants et les offres de preuve, ce d'autant plus qu'il entendait voir réduite la contribution litigieuse (cf. ATF 128 III 411 c. 3.2.1). On ne saurait donc compléter l'état de fait du jugement sur ces points, ni retenir une violation de la maxime inquisitoire, le recourant n'ayant au surplus produit aucune pièce ni requis de mesure d'instruction à cet égard dans son mémoire de recours. Il n'y a pas lieu de procéder à d'autre complément ni à une instruction complémentaire, la cour de céans étant à même de statuer en réforme.</w:t>
      </w:r>
    </w:p>
    <w:p>
      <w:r>
        <w:rPr>
          <w:b/>
        </w:rPr>
        <w:t>E. 4</w:t>
      </w:r>
    </w:p>
    <w:p>
      <w:r>
        <w:t>Le recourant fait valoir qu'il s'est remarié, qu'il a un nouvel enfant et que sa situation financière s'est péjorée. Il conteste que l'on puisse lui imputer un revenu hypothétique. a) L'art. 286 al. 2 CC, non modifié par la novelle du 26 juin 1998 et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 La Pratique du droit de la famille [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procédure de modification est ainsi distincte de celle de révision et ne saurait la remplacer (Hegnauer, loc. cit.). La proportion entre les pensions et les revenus du débirentier telle qu'arrêtée dans la convention sur les effets accessoires du divorce doit en principe être respectée en cas de modification du jugement de divorce (ATF 108 II 30 c. 8, JT 1984 I 255). Une modification de la situation familiale peut répondre aux conditions posées par l'article 286 alinéa 2 CC, par exemple la naissance de demi-frères ou de demi-sœurs, dont le débiteur doit aussi assumer l'entretien (TF 5P.114/2006 du 12 mars 2007 c. 4.2; Meier/Stettler, Droit de la filiation, 4ème éd., 2009, n° 997, p. 584, et références; Bühler/Spühler, Berner Kommentar, 1980, n. 106 ad art. 157 aCC, p. 709). En l'espèce, le recourant réalise actuellement un revenu de l'ordre de 970 fr. par mois, alors que celui pris en compte au moment du divorce était de 4'000 francs. En outre il s'est remarié et un enfant est issu de ce mariage. Il y dès lors lieu de considérer que la situation s'est modifiée notablement et durablement au sens de l'art. 286 al. 2 CC et qu'il convient d'entrer en matière sur la question de la modification de la contribution litigieuse. b) Le premier juge a imputé au recourant un revenu hypothétique de 4'000 fr. par mois, dès lors que celui-ci constituait le salaire minimum d'un monteur en chauffage et que le recourant, au bénéfice d'un CFC en la matière, pourrait exercer cette profession. Pour fixer les contributions d'entretien, le juge se fonde en principe sur le revenu effectif du débiteur. Il peut toutefois s'en écarter et retenir un revenu hypothétique supérieur, pour autant que le débiteur puisse gagner plus que son revenu effectif en faisant preuve de bonne volonté et en accomplissant l'effort que l'on peut raisonnablement exiger de lui et que l'obtention d'un tel revenu soit effectivement possible (ATF 128 III 4 c. 4a; ATF 127 III 136 c. 2a).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montant du gain hypothétique sont en particulier la qualification professionnelle, l'âge, l'état de santé et la situation du marché du travail (ATF 128 III 4 c. 4c/cc; TF 5A_460/2008 du 30 octobre 2008 c. 4.1). Savoir si l'on peut raisonnablement exiger du débiteur une augmentation de son revenu est une question de droit; en revanche, savoir quel revenu la personne a la possibilité effective de réaliser est une question de fait (ATF 128 III 4 c. 4c/bb; TF 5A_736/2008 du 30 mars 2009 c. 4 et références). Le Tribunal fédéral a considéré que le débiteur d'une contribution ne pouvait se prévaloir de son choix de rester au foyer, alors que l'on peut raisonnablement exiger de lui qu'il obtienne un revenu. En effet, sa première famille n'a pas à supporter le choix du débiteur de rester au foyer pour s'occuper de l'enfant issu de son nouveau mariage, ce d'autant plus lorsque l'enfant est âgé de plus de cinq ans, qu'il est en âge de scolarité et ne nécessite donc plus une surveillance permanente (TF 5A_736/2008 du 30 mars 2009 c. 4.1 et référence). En l'espèce, le recourant a un CFC de monteur en chauffage et c'est sur la base d'un revenu dans cette activité que sa capacité contributive a été fixée à 4'000 fr. par le jugement de divorce du 24 janvier 2001, alors qu'il était sans emploi depuis sa faillite de 1999. Après une période d'activité en tant qu'agent de sécurité, qui a pris fin par un licenciement, il a débuté une activité indépendante de marketing en 2006. Au moment de l'audience de jugement du 19 mars 2009, il n'avait ainsi plus exercé d'activité de monteur en chauffage depuis environ dix ans. Il y a toutefois lieu d'admettre que, moyennant une remise à niveau, le recourant, qui est âgé d'un peu plus de quarante ans et jouit d'une bonne santé, est à même de retrouver une activité dans le domaine couvert par son CFC et de réaliser un revenu de 4'000 fr. par mois. Dès lors il ne saurait imposer à l'intimée et à l'enfant issu de son premier mariage les conséquences financière son choix de limiter son taux d'activité lucrative pour s'occuper de l'enfant issu de son deuxième mariage. Le recours doit être rejeté sur ce point. c) Selon la jurisprudence et la doctrine,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ATF 116 II 115, JT 1993 I 167; Meier/Stettler, op. cit., n° 964, pp. 557-558; Bühler/Spühler, op. cit., n. 106 ad art. 157 aCC, p. 709).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il incombe l'entretien de plusieurs enfants dont les besoins sont semblables peut dès lors devoir s'acquitter de montant différends si ces enfants vivent dans des foyers qui disposent de moyens financiers dissemblables (ATF 127 III 68 c. 2b; ATF 126 III 353 c. 2b). Ces principes s'appliquent en particulier dans les procédures tendant à la modification de contributions d'entretien (TF 5P.114/2006 précité). Le Tribunal fédéral considère que la méthode abstraite appliquée par les juridictions vaudoises, qui, en présence de revenus moyens, consiste à calculer la contribution pour l'enfant en bas âge sur la base d'un pourcentage de ce revenu - 15 à 17% pour un enfant, 25 à 27% pour deux enfants, 30 à 35% pour trois enfants - n'est pas contraire au droit fédéral, pour autant que la contribution reste en rapport avec le niveau de vie et la capacité contributive du débiteur (TF 5A_84/2007 du 18 septembre 2007 c. 5.1). En l'espèce, en application de cette règle, la contribution d'entretien à la charge du recourant devrait être de 500 fr. par enfant (4'000 x 25 % : 2). Toutefois dès lors que l'enfant B.W.________ est âgé de plus de treize ans et que la contribution en faveur d'un enfant en bas âge est augmentée par paliers en application de l'art. 286 al. 1 CC au fur et à mesure que l'enfant grandit pour tenir compte de l'augmentation des charges (Hausheer/Spycher/Kocher/Brunner, Handbuch des Unterhaltsrechts, 1997, n° 09.23, p. 490; Hegnauer/Meier, Droit suisse de la filiation et de la famille, 4 ème éd., 1998, n° 21.26, p. 145, idem in Berner Kommentar, 1997, n. 14 et 19 ad art. 286 CC, pp. 374 et 375), le montant de 700 fr. arrêté par le premier juge apparaît adéquat, ce d'autant que le recourant s'est engagé à verser une contribution de 725 francs par mois dès que son deuxième enfant aura atteint l'âge de douze ans révolus, selon convention ratifiée par la Justice de paix du district de Morges en 2007. La contribution en cause n'entame pas le minimum vital tel que calculé par le premier juge, le recourant bénéficiant d'un disponible de 1'582 fr. 40 (4'000 - 2'417,60). A cet égard, le calcul opéré par l'Office des poursuites de Morges-Aubonne le 10 juin 2009 n'est pas déterminant, dès lors qu'il se fonde sur les revenus effectifs du recourant, alors qu'il convient de prendre en compte le revenu hypothétique pour déterminer si l'exigence jurisprudentielle de garantie du minimum vital est respectée (ATF 123 III 1 c. 3b/bb, JT 1998 I 36 et références; ATF 110 II 116 c. 2a, JT 1986 I 294). Le premier juge a ainsi tenu compte de manière adéquate du fait que le recourant est père d'un deuxième enfant et le recours doit être rejeté sur ce point. d) Le recourant ne prétend pas que la capacité contributive de l'intimée, fixée à 3'200 fr. au moment du divorce, aurait augmenté et une telle augmentation de ressort pas des pièces du dossier, le jugement retenant, sans être contredit par celui-ci, que l'intimée n'exerce actuellement aucune activité lucrative. La situation économique de l'intimée n'est dès lors pas de nature à fonder une baisse de la contribution en cause.</w:t>
      </w:r>
    </w:p>
    <w:p>
      <w:r>
        <w:rPr>
          <w:b/>
        </w:rPr>
        <w:t>E. 5</w:t>
      </w:r>
    </w:p>
    <w:p>
      <w:r>
        <w:t>Le jugement attaqué indique à son considérant 6 que l'indice de base servant à l'indexation de la contribution modifiée en cause est celui du mois où la modification prend effet. Le dispositif du jugement attaqué mentionne notamment qu'il modifie chiffre V du dispositif du jugement de divorce du 24 janvier 2001 relatif à l'indexation, mais n'introduit aucun chiffre V nouveau, se bornant à maintenir pour le surplus, à son chiffre III, ledit jugement de divorce. Au vu du considérant 6 du jugement, cette omission résulte d'une erreur, le maintien du chiffre V du jugement de divorce du 24 janvier 2001 ayant pour conséquence de faire partir l'indexation en cause à la date du jugement. En application de la maxime d'office prescrite à l'art. 145 al. 1 CC, il convient de réformer d'office le jugement en ce sens qu'il est précisé que la pension en cause sera indexée à l'IPC le 1 er janvier de chaque année, sur la base de l'indice au 30 novembre précédent, l'indice de référence étant celui au 30 novembre 2008.</w:t>
      </w:r>
    </w:p>
    <w:p>
      <w:r>
        <w:rPr>
          <w:b/>
        </w:rPr>
        <w:t>E. 6</w:t>
      </w:r>
    </w:p>
    <w:p>
      <w:r>
        <w:t>En conclusion, le recours doit être rejeté et le jugement réformé d'office dans le sens du considérant 5 susmentionné. Les frais de deuxième instance du recourant sont arrêtés à 300 fr. (art. 233 TFJC; tarif du 4 décembre 1984 des frais judiciaires en matière civile; RSV 270.11.5). Obtenant gain de cause, l'intimée a droit à des dépens de deuxième instance, fixés à 1'200 fr. (art. 91 et 92 CPC; art. 2 al. 1 ch. 33, art. 3 et 5 ch. 2 TAv; tarif du 17 juin 1986 des honoraires d'avocat dus à titre de dépens; RSV 177.11.3). Par ces motifs, la Chambre des recours du Tribunal cantonal, statuant à huis clos, prononce : I. Le recours est rejeté. II. Le jugement du 20 avril 2009 est réformé d'office en ce sens que le jugement de divorce du 24 janvier 2001 est modifié comme il suit au chiffre V de son dispositif : V.- Dit que la pension sera indexée à l'indice suisse des prix à la consommation le 1 er janvier de chaque année, sur la base de l'indice au 30 novembre précédent, l'indice de référence était celui au 30 novembre 2008. Le jugement du 20 avril 2009 est confirmé pour le surplus. III. Les frais de deuxième instance du recourant sont arrêtés à 300 fr. (trois cents francs). IV. Le recourant A.W.________ doit verser à l'intimée J.________ la somme de 1'200 fr. (mille deux cents francs) à titre de dépens de deuxième instance. V. L'arrêt motivé est exécutoire. L e président : L e greffi er : Du 18 novembre 2009 Le dispositif de l'arrêt qui précède est communiqué par écrit aux intéressés. L e greffi er : Du L'arrêt qui précède, dont la rédaction a été approuvée à huis clos, est notifié en expédition complète, par l'envoi de photocopies, à : ‑      Me Jean-Emmanuel Rossel (pour A.W.________), ‑      Me Jacques Bonfils (pour J.________). La Chambre des recours considère que la valeur litigieuse est de 120'000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