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490 vom 22. Dezember 2009</w:t>
      </w:r>
    </w:p>
    <w:p>
      <w:r>
        <w:t>VD Tribunal cantonal, 2009-12-22, FR</w:t>
      </w:r>
    </w:p>
    <w:p>
      <w:r>
        <w:rPr>
          <w:b/>
        </w:rPr>
        <w:t xml:space="preserve">Quelle: </w:t>
      </w:r>
      <w:r>
        <w:t>https://mcp.opencaselaw.ch/entscheid/vd_findinfo_HC___2009___490</w:t>
      </w:r>
    </w:p>
    <w:p>
      <w:r>
        <w:t>FR: VD_FINDINFO HC / 2009 / 490 du 22 décembre 2009</w:t>
      </w:r>
    </w:p>
    <w:p>
      <w:r>
        <w:t>IT: VD_FINDINFO HC / 2009 / 490 del 22 dicembre 2009</w:t>
      </w:r>
    </w:p>
    <w:p>
      <w:pPr>
        <w:pStyle w:val="Heading2"/>
      </w:pPr>
      <w:r>
        <w:t>Regeste</w:t>
      </w:r>
    </w:p>
    <w:p>
      <w:r>
        <w:t>PROTECTION DE LA PERSONNALITÉ, SOCIÉTÉ COOPÉRATIVE, ASSEMBLÉE GÉNÉRALE | 28 CC, 891 CO, 465 al. 1 CPC</w:t>
      </w:r>
    </w:p>
    <w:p>
      <w:pPr>
        <w:pStyle w:val="Heading2"/>
      </w:pPr>
      <w:r>
        <w:t>Erwägungen</w:t>
      </w:r>
    </w:p>
    <w:p>
      <w:r>
        <w:rPr>
          <w:b/>
        </w:rPr>
        <w:t>E. 1</w:t>
      </w:r>
    </w:p>
    <w:p>
      <w:r>
        <w:t>Les articles 444, 445 et 451 chiffre 2 CPC (Code de procédure civile du 14 décembre 1966 ; RSV 270.11) ouvrent la voie du recours en nullité et en réforme contre les jugements principaux rendus par un tribunal d'arrondissement.</w:t>
      </w:r>
    </w:p>
    <w:p>
      <w:r>
        <w:rPr>
          <w:b/>
        </w:rPr>
        <w:t>E. 2</w:t>
      </w:r>
    </w:p>
    <w:p>
      <w:r>
        <w:t>a. La cour de céans n'examine que les moyens de nullité invoqués. L'énonciation séparée des moyens de nullité est une condition de recevabilité du recours en nullité, de telle sorte qu'il y a lieu d'écarter préliminairement celui-ci lorsqu'il n'énonce que des moyens de réforme (Poudret/Haldy/Tappy, Procédure civile vaudoise,</w:t>
      </w:r>
    </w:p>
    <w:p>
      <w:r>
        <w:rPr>
          <w:b/>
        </w:rPr>
        <w:t>E. 3</w:t>
      </w:r>
    </w:p>
    <w:p>
      <w:r>
        <w:t>En conclusion, le recours doit être rejeté en application de l'art. 465 al. 1 CPC et le jugement confirmé. Les frais de deuxième instance du recourant sont arrêtés à 1'000 fr.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K.________ sont arrêtés à 1'000 fr. (mille francs). IV. L'arrêt motivé est exécutoire. L e président : L a greffi ère : Du 22 décembre 2009 Le dispositif de l'arrêt qui précède est communiqué par écrit aux intéressés. L a greffi ère : Du L'arrêt qui précède, dont la rédaction a été approuvée à huis clos, est notifié en expédition complète, par l'envoi de photocopies, à : ‑      M. Stefan Disch, pour K.________ ‑      M. Raymond Didisheim, pour Q.________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a greffi 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