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468 vom 3. November 2009</w:t>
      </w:r>
    </w:p>
    <w:p>
      <w:r>
        <w:t>VD Tribunal cantonal, 2009-11-03, FR</w:t>
      </w:r>
    </w:p>
    <w:p>
      <w:r>
        <w:rPr>
          <w:b/>
        </w:rPr>
        <w:t xml:space="preserve">Quelle: </w:t>
      </w:r>
      <w:r>
        <w:t>https://mcp.opencaselaw.ch/entscheid/vd_findinfo_HC___2009___468</w:t>
      </w:r>
    </w:p>
    <w:p>
      <w:r>
        <w:t>FR: VD_FINDINFO HC / 2009 / 468 du 3 novembre 2009</w:t>
      </w:r>
    </w:p>
    <w:p>
      <w:r>
        <w:t>IT: VD_FINDINFO HC / 2009 / 468 del 3 novembre 2009</w:t>
      </w:r>
    </w:p>
    <w:p>
      <w:pPr>
        <w:pStyle w:val="Heading2"/>
      </w:pPr>
      <w:r>
        <w:t>Regeste</w:t>
      </w:r>
    </w:p>
    <w:p>
      <w:r>
        <w:t>FAUTE | 47 CP, 411 let. g CPP, 411 let. h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en particulier, faire apparaître des doutes sur l'existence des faits admis et importants pour le jugement de la cause (art. 411 let. i CPP), éventualité qui n'est en principe plus examinée dans le cadre du recours en réforme.</w:t>
      </w:r>
    </w:p>
    <w:p>
      <w:r>
        <w:rPr>
          <w:b/>
        </w:rPr>
        <w:t>E. 2</w:t>
      </w:r>
    </w:p>
    <w:p>
      <w:r>
        <w:t>Le recourant se prévaut des moyens de nullité de l'art. 411 let. i, g et h CPP. En ce qui concerne en particulier l'art. 411 let. i CPP, le recourant soutient que le raisonnement suivi par les premiers juge est arbitraire et viole clairement le principe de la présomption d'innocence pour ce qui de la position d'intermédiaire qui lui est attribuée au sein du réseau de trafiquants.</w:t>
      </w:r>
    </w:p>
    <w:p>
      <w:r>
        <w:rPr>
          <w:b/>
        </w:rPr>
        <w:t>E. 2.1</w:t>
      </w:r>
    </w:p>
    <w:p>
      <w:r>
        <w:t>a) En procédure vaudoise, le principe in dubio pro reo est considéré comme un moyen de nullité et non plus de réforme (JT 2007 III 82 s.;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 13 octobre 1994, ad Cass., 30 mai 1994). b)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w:t>
      </w:r>
    </w:p>
    <w:p>
      <w:r>
        <w:rPr>
          <w:b/>
        </w:rPr>
        <w:t>E. 2.2</w:t>
      </w:r>
    </w:p>
    <w:p>
      <w:r>
        <w:t>En retenant que l'accusé avait "joué un rôle d'intermédiaire" au sein du réseau, le tribunal correctionnel a considéré qu'il ne se limitait pas à approvisionner des toxicomanes, mais vendait aussi et surtout de la cocaïne à d'autres trafiquants, situés en dessous de lui dans la structure du réseau. Cet élément a été pris en compte à charge dans la fixation de la peine. La conviction des premiers juges repose notamment sur les éléments suivants : - les contrôles téléphoniques établissant que l'accusé était en contact régulier avec d'autres trafiquants, qu'il approvisionnait en cocaïne, tout comme il vendait de la drogue à des consommateurs, même si c'était dans une moindre mesure; - le nombre des transactions avec différents revendeurs; - l'aveu portant sur l'achat de 300 g de cocaïne en une fois; - les ventes effectuées, à savoir 40 g de cocaïne auprès de toxicomanes, et 53 g au moins à différents revendeurs. Ces faits sont établis. Leur appréciation par les premiers juges est complète et cohérente. En particulier, elle est conforme à l'organisation couramment adoptée par les réseaux de trafiquants sévissant en Suisse, notamment sur territoire vaudois. Au surplus, l'achat de 300 g de cocaïne en une fois est, à l'évidence, totalement inhabituel pour un revendeur dont l'activité se limiterait à approvisionner des toxicomanes; bien plutôt, elle témoigne d'une position plus élevée dans la hiérarchie du réseau. En d'autres termes et par analogie avec l'économie légale, la position de l'accusé était assimilable à celle d'un semi-grossiste. Au vu des ces éléments les premiers juges pouvaient, sans arbitraire, considérer que le recourant occupait bien une position intermédiaire au sein du réseau. Ce moyen doit en conséquence être rejeté.</w:t>
      </w:r>
    </w:p>
    <w:p>
      <w:r>
        <w:rPr>
          <w:b/>
        </w:rPr>
        <w:t>E. 2.3</w:t>
      </w:r>
    </w:p>
    <w:p>
      <w:r>
        <w:t>Le deuxième moyen de nullité du recourant est tiré de l'art. 411 let. g et h CPP. Le recourant reproche aux premiers juges de ne pas avoir motivé à satisfaction leur conviction, dans la mesure où ils n'auraient pas, à plusieurs égards, étayé l'étendue du trafic au vu des quantités de cocaïne écoulées. a) La vente de 93 g de cocaïne (à des toxicomanes et à d'autres trafiquants) a été retenue en prenant en compte diverses opérations séparées, portant sur 40, 10, 20, 3 (six boulettes) et 20 g de cette drogue. S'agissant en particulier des 10 grammes, si le rapport de synthèse de la police n'établit pas cette opération, il n'en reste pas moins que l'accusé a avoué avoir vendu la même quantité à l'acheteur mentionné par ce rapport. Le tribunal correctionnel n'a pas formellement précisé s'il s'était fondé sur le rapport de police ou uniquement sur l'aveu. La question peut toutefois rester indécise. En effet, au vu de la quantité de drogue en cause, on peut considérer que la part marginale de 10 g n'est pas de nature à influer sur la décision attaquée au sens de l'art. 411 let. g respectivement h CPP. A cet égard également, la motivation du jugement est ainsi suffisante. b) Le recourant fait ensuite grief aux premiers juges d'avoir retenu la vente de 629 g de cocaïne. Il leur reproche en particulier d'avoir déduit cette quantité des seules sommes d'argent retrouvées à son lieu de résidence. Le tribunal correctionnel a retenu que les deniers en question étaient d'origine illicite. Sa conviction se fonde sur les nombreuses versions données par l'accusé quant à l'origine de l'argent, sur le caractère contradictoire de ces déclarations, sur le fait que les billets étaient conditionnés sous cellophane, sur les aveux de l'accusé portant sur son trafic ce drogue et sur le fait que l'intéressé menait grand train de vie bien que dépourvu de moyens d'existence légaux en Suisse. Pris dans leur ensemble, ces éléments permettent d'asseoir la conviction quant aux faits retenus. La motivation du jugement est exempte d'arbitraire. Au surplus, la comparaison que tente de déduire le recourant d'avec l'activité délictueuse de son comparse est stérile. En effet, vu les différences des cas des deux co-accusés, elle ne comporte aucun élément étayant que les premiers juges auraient versé dans l'arbitraire dans l'appréciation des faits retenus à sa charge. Pour ce qui est, enfin, des modalités du calcul aboutissant à la quantité de 629 g de cocaïne retenue, le jugement se fonde sur les propres aveux de l'accusé, interprétés en sa faveur. Celui-ci a en effet indiqué qu'il obtenait un profit compris entre 10 et 15 fr. par gramme vendu, alors que le jugement, à l'instar des enquêteurs, retient un montant de 20 fr. à ce titre. Cette pondération tient en particulier compte de manière adéquate de l'avis de policiers et des variations possibles dans le degré de pureté de la drogue. Au surplus, savoir pour quels motifs le tribunal correctionnel n'a pas retenu le même bénéfice unitaire en ce qui concerne le co-accusé n'est pas déterminant en l'espèce. Enfin, la division du montant des espèces séquestrées par le bénéfice au gramme et la prise en compte du taux moyen de pureté de la drogue sont exemptes de tout reproche.</w:t>
      </w:r>
    </w:p>
    <w:p>
      <w:r>
        <w:rPr>
          <w:b/>
        </w:rPr>
        <w:t>E. 2.4</w:t>
      </w:r>
    </w:p>
    <w:p>
      <w:r>
        <w:t>Le recours en nullité doit donc être rejeté.</w:t>
      </w:r>
    </w:p>
    <w:p>
      <w:r>
        <w:rPr>
          <w:b/>
        </w:rPr>
        <w:t>E. 2.4.3</w:t>
      </w:r>
    </w:p>
    <w:p>
      <w:r>
        <w:t>).</w:t>
      </w:r>
    </w:p>
    <w:p>
      <w:r>
        <w:rPr>
          <w:b/>
        </w:rPr>
        <w:t>E. 3</w:t>
      </w:r>
    </w:p>
    <w:p>
      <w:r>
        <w:t>En réforme, le recourant invoque une fausse application de l'art. 47 CP. Soutenant que la sanction qui lui a été infligée est arbitrairement sévère, il reproche en particulier aux premiers juges d'avoir accordé une importance excessive à ses dénégations durant l'enquête et d'avoir fait fi des circonstances prévalant dans son Etat d'origine.</w:t>
      </w:r>
    </w:p>
    <w:p>
      <w:r>
        <w:rPr>
          <w:b/>
        </w:rPr>
        <w:t>E. 3.1</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3.2</w:t>
      </w:r>
    </w:p>
    <w:p>
      <w:r>
        <w:t>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arrêt 6B_207/2007, du 6 septembre 2007) . c )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L'insertion et le rôle de l'auteur dans le réseau de distribution constitue aussi un élément important d'appréciation (BJP 2002 n° 254, pp. 73 s.). La quantité de drogue est un élément d'appréciation important mais toutefois pas prépondérant (ATF 122 IV 299, c. 2c; ATF 121 IV 202, c. 2d/cc, JT 1997 IV 108; ATF 118 IV 342, c. 2c, JT 1994 IV 67; Cass., B., 5 décembre 2005, no 418).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(arrêt du TF 6S.21/2002, c. 2c et les réf. cit.). S'agissant en particulier du trafic de cocaïne, il y a cas grave au sens de l'art. 19 ch. 2 let. a LStup à partir de 18 grammes de drogue pure (ATF 109 IV 143, JT 1984 IV 84, dont les principes n'ont pas été affectés par le changement de jurisprudence consacré par l'ATF 117 IV 314). La modification de la loi entrée en vigueur le 1 er janvier 2007 n'a pas modifié la définition du cas grave.</w:t>
      </w:r>
    </w:p>
    <w:p>
      <w:r>
        <w:rPr>
          <w:b/>
        </w:rPr>
        <w:t>E. 3.3</w:t>
      </w:r>
    </w:p>
    <w:p>
      <w:r>
        <w:t>En l'espèce, les premiers juges ont considéré que la culpabilité du recourant était très lourde. Les éléments retenus à charge et à décharge sont précisément énoncés. En particulier, le tribunal correctionnel a, contrairement à ce que soutient le recourant, expressément pris en compte en sa faveur la situation prévalant dans son Etat d'origine. Le cas grave au regard de la LStup est largement avéré. Dans son appréciation, le tribunal n'a pas tenu compte d'éléments étrangers à l'art. 47 CP, précisé par la jurisprudence spécifique aux infractions à la LStup (ATF 122 IV 299 précité, et les arrêts cités). Ceux pris en compte sont complets et pertinents. La peine prononcée se situe dans le cadre légal. Sous réserve de la comparaison avec la sanction infligée au co-accusé (cf. ci-dessous), une peine privative de liberté de trois ans n'est pas arbitrairement sévère.</w:t>
      </w:r>
    </w:p>
    <w:p>
      <w:r>
        <w:rPr>
          <w:b/>
        </w:rPr>
        <w:t>E. 3.4</w:t>
      </w:r>
    </w:p>
    <w:p>
      <w:r>
        <w:t>Cela étant, le recourant fait également valoir que la peine qui lui a été infligée est excessive en comparaison avec celle prononcée à l'égard du co-accusé. a) Selon la jurisprudence, il est possible d'invoquer, dans le cadre d'un recours en réforme pour violation de l'art. 47 CP, le moyen selon lequel la peine infligée consacre une inégalité de traitement (ATF 116 IV 292, c. 2, JT 1992 IV 104). Le juge doit respecter le principe de l'égalité de traitement entre accusés (cf. notamment ATF 123 IV 150, c. 2b p. 154; TF, arrêt 6S.270/2005, du 25 septembre 2005, ad Cass, du 24 mars 2005).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2e éd., 2007, n. 159 ad art. 47 CP, pp. 876 s. et les réf. cit.). Les comparaisons sont souvent établies avec des peines infligées à des auteurs impliqués dans des cas prétendument semblables. De telles comparaisons n'aboutissent en général pas à une modification de la sanction (Wiprächtiger, op. cit., n. 162 ad art. 47 CP, p. 879),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référence à un ou deux précédents où des peines clémentes ont été prononcées n'est d'ailleurs pas suffisante pour prétendre à l'égalité de traitement (ATF 114 Ib 238; Cass. NE, 6 mars 1992, RJN 1992 p. 119). La jurisprudence a affirmé la primauté du principe de la légalité sur celui de l'égalité; ainsi, il ne suffit pas que la loi ait été mal appliquée dans un cas pour que l'accusé puisse prétendre à un droit à l'égalité dans l'illégalité (ATF 122 II 446, c. 4a; ATF 124 IV 44, c. 2c; cf. aussi, sur tous ces points, Cass., I., du 4 mars 2009, n° 87, c. 7c). b) En l'espèce, la qualification des infractions réprimées par le jugement dont est recours est la même pour les deux co-accusés. Toutefois, la culpabilité des intéressés n'est pas identique. En effet, le comparse a été condamné pour avoir écoulé "environ 200 grammes de cocaïne, soit 55 grammes purs", alors que le recourant s'est livré à un trafic portant sur une quantité bien supérieure. Qui plus est, le co-accusé a collaboré à l'enquête, s'étant, selon le jugement, "montré honnête et collaborant dans le cadre à ce dossier". Il a en outre, contrairement au recourant, fait bonne impression à l'audience. Né en 1985, il est également plus jeune que celui-ci. Enfin et surtout, sa position au sein du réseau de trafiquants était inférieure à celle du recourant, puisqu'il n'était qu'un revendeur de rue et non un distributeur intermédiaire, dont la position est assimilable à celle d'un semi-grossiste dans l'économie légale. Ces éléments sont d'une importance suffisante pour justifier une sanction sensiblement plus lourde, soit du simple au double, à l'égard du recourant par rapport à celle infligée à son comparse. La différence de dix-huit mois entre les peines privatives de liberté n'est donc pas arbitraire. c) Cela étant, dès lors que la quotité de la peine est compatible avec un sursis partiel (art. 43 al. 1 CP), il y a lieu d'examiner d'office la question de l'octroi d'un tel sursis.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(SJ 2008 I précité, p. 281; ATF 134 IV 1 précité, c. 5.5.1, p. 14). Malgré l'absence de renvoi explicite de l'art. 43 CP, les conditions subjectives permettant l'octroi du sursis (art. 42 CP), à savoir les perspectives d'amendement, sont également valables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En revanche, un pronostic défavorable exclut également le sursis partiel. En effet, en l'absence d'espoir d'influencer l'auteur de quelque manière par un sursis complet ou partiel, la peine doit être entièrement exécutée (ATF 134 IV 1 précité, c. 5.3.1, p. 10; TF, arrêt 6B_713/2007, SJ 2008 I, p. 277, spéc. p. 280). Cela étant, le Tribunal fédéral a, dans un arrêt de principe du 19 mai 2009 ( 6B_492/2008 , c. 3.1.3, non publié aux A TF 135 IV 152) , précisé que l 'exception du sursis partiel ne se pose qu'en cas de pronostic très incertain (ou défavorable). En effet, elle ne peut être admise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w:t>
      </w:r>
    </w:p>
    <w:p>
      <w:r>
        <w:rPr>
          <w:b/>
        </w:rPr>
        <w:t>E. 3.5</w:t>
      </w:r>
    </w:p>
    <w:p>
      <w:r>
        <w:t>En l'espèce, l'accusé a été condamné à trois reprises déjà pour des infractions à la loi fédérale sur les stupéfiants. Indésirable, il est rentré en Suisse et a derechef commis des infractions de même nature, d'une gravité supérieure cette fois. Son amendement est pour ainsi dire nul. Le pronostic ne peut qu'être résolument défavorable. Dès lors, vu la situation de l'accusé, il n'apparaît pas que l'exécution d'une partie de la peine puisse suffire à renverser le caractère défavorable du pronostic. Il n'y a donc pas lieu d'assortir la peine d'un sursis partiel.</w:t>
      </w:r>
    </w:p>
    <w:p>
      <w:r>
        <w:rPr>
          <w:b/>
        </w:rPr>
        <w:t>E. 4</w:t>
      </w:r>
    </w:p>
    <w:p>
      <w:r>
        <w:t>En conclusion, le recours doit être rejeté en application de l'art. 431 al. 2 CPP et le jugement confirmé. Vu l'issue du recours, les frais de deuxième instance, y compris l'indemnité allouée à son défenseur d'office, par 660 fr., sont mis à la charge du recourant (art. 450 al. 1 CPP). Le remboursement à l'Etat de l'indemnité due au défenseur d'office sera exigible pour autant que la situation économique du recourant se soit améliorée (ATF 135 I 91 , c. 2.4, spéc.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