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463 vom 22. Dezember 2009</w:t>
      </w:r>
    </w:p>
    <w:p>
      <w:r>
        <w:t>VD Tribunal cantonal, 2009-12-22, FR</w:t>
      </w:r>
    </w:p>
    <w:p>
      <w:r>
        <w:rPr>
          <w:b/>
        </w:rPr>
        <w:t xml:space="preserve">Quelle: </w:t>
      </w:r>
      <w:r>
        <w:t>https://mcp.opencaselaw.ch/entscheid/vd_findinfo_HC___2009___463</w:t>
      </w:r>
    </w:p>
    <w:p>
      <w:r>
        <w:t>FR: VD_FINDINFO HC / 2009 / 463 du 22 décembre 2009</w:t>
      </w:r>
    </w:p>
    <w:p>
      <w:r>
        <w:t>IT: VD_FINDINFO HC / 2009 / 463 del 22 dicembre 2009</w:t>
      </w:r>
    </w:p>
    <w:p>
      <w:pPr>
        <w:pStyle w:val="Heading2"/>
      </w:pPr>
      <w:r>
        <w:t>Regeste</w:t>
      </w:r>
    </w:p>
    <w:p>
      <w:r>
        <w:t>CONVERSION DE L'AMENDE | 485m CPP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En matière d'application des peines, le recours s'exerce par écrit dans les dix jours dès la notification de la décision attaquée (art. 485n al. 1 CPP). En l'espèce, le prononcé a été communiqué sous pli simple au condamné le 5 novembre 2009, alors que le recours a été interjeté le 27 novembre suivant. S'agissant d'un envoi adressé sans accusé de réception, la date de la notification du prononcé entrepris ne peut être déterminée, à défaut d'aveu du recourant. La preuve de la notification d'une décision incombant à l'autorité, le recours ne peut a priori être tenu pour tardif et, partant, irrecevable, s'agissant d'un intervalle ne dépassant pas quelques jours.</w:t>
      </w:r>
    </w:p>
    <w:p>
      <w:r>
        <w:rPr>
          <w:b/>
        </w:rPr>
        <w:t>E. 3</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4</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Pour ce qui est, en particulier, de la conversion des amendes infligées par une autorité administrative, l'art. 106 al. 5 CP renvoie par analogie à l'art. 36 al. 2 CP, qui dispose que, si la peine pécuniaire est prononcée par une autorité administrative, un juge doit statuer sur la peine privative de liberté de substitution.</w:t>
      </w:r>
    </w:p>
    <w:p>
      <w:r>
        <w:rPr>
          <w:b/>
        </w:rPr>
        <w:t>E. 5</w:t>
      </w:r>
    </w:p>
    <w:p>
      <w:r>
        <w:t>En l'espèce, le recours ne comporte aucune conclusion explicite. Il doit toutefois être considéré, au vu des moyens invoqués, que son auteur entend conclure à la réforme de la décision attaquée en ce sens qu'aucune peine privative de liberté de substitution ne soit prononcée . Cette conclusion est recevable. Il doit donc être entré en matière. Vu le pouvoir d'examen très large dont dispose la Cour de cassation pénale du Tribunal cantonal en vertu des art. 485m et ss CPP, et en particulier de l'art. 485s CPP, la nouvelle pièce versée au dossier par le Juge d'application des peines, à savoir l'extrait des registres délivré le 30 novembre 2009 par l'Office des poursuites du district de Lausanne-Est, est recevable. Un délai a été imparti au recourant pour se déterminer à cet égard.</w:t>
      </w:r>
    </w:p>
    <w:p>
      <w:r>
        <w:rPr>
          <w:b/>
        </w:rPr>
        <w:t>E. 6</w:t>
      </w:r>
    </w:p>
    <w:p>
      <w:r>
        <w:t>Il résulte de l'extrait des poursuites que le recourant fait l'objet de poursuites en cours à hauteur de 1'145 fr. et que des actes de défaut de biens pour un total de 2'773 fr. 75 ont été délivrés contre lui. Les amendes infligées au recourant doivent donc être tenues pour inexécutables par voie de poursuite pour dettes. La condition posée par l'art. 27 al. 1 LEP est dès lors remplie. Sous l'angle de l'art. 27 al. 3 LEP, il ressort de l'extrait des poursuites que la situation financière de l'intéressé est mauvaise depuis longtemps. En particulier, le premier acte de défaut de biens mentionné dans l'extrait avait été délivré à son encontre en 2005 déjà (à hauteur de 1'533 fr. 35), ce qui établit que sa situation était déjà obérée avant le prononcé des amendes dont il est question en l'espèce. Dans ces circonstances, on ne saurait considérer qu'il y a eu, depuis la notification des prononcés en cause, détérioration notable de la situation financière du condamné au sens de l'art. 36 al. 3 CP. C'est donc à juste titre que le Juge d'application des peines a converti les amendes en une peine privative de liberté de substitution. Néanmoins, le prononcé de conversion n'aura plus d'objet et le condamné n'aura pas à exécuter la peine privative de liberté de substitution si les amendes sont payées.</w:t>
      </w:r>
    </w:p>
    <w:p>
      <w:r>
        <w:rPr>
          <w:b/>
        </w:rPr>
        <w:t>E. 7</w:t>
      </w:r>
    </w:p>
    <w:p>
      <w:r>
        <w:t>En définitive, le recours doit être rejeté dans la mesure où il est recevable et le prononcé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