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46 vom 17. März 2009</w:t>
      </w:r>
    </w:p>
    <w:p>
      <w:r>
        <w:t>VD Tribunal cantonal, 2009-03-17, FR</w:t>
      </w:r>
    </w:p>
    <w:p>
      <w:r>
        <w:rPr>
          <w:b/>
        </w:rPr>
        <w:t xml:space="preserve">Quelle: </w:t>
      </w:r>
      <w:r>
        <w:t>https://mcp.opencaselaw.ch/entscheid/vd_findinfo_HC___2009___46</w:t>
      </w:r>
    </w:p>
    <w:p>
      <w:r>
        <w:t>FR: VD_FINDINFO HC / 2009 / 46 du 17 mars 2009</w:t>
      </w:r>
    </w:p>
    <w:p>
      <w:r>
        <w:t>IT: VD_FINDINFO HC / 2009 / 46 del 17 marzo 2009</w:t>
      </w:r>
    </w:p>
    <w:p>
      <w:pPr>
        <w:pStyle w:val="Heading2"/>
      </w:pPr>
      <w:r>
        <w:t>Regeste</w:t>
      </w:r>
    </w:p>
    <w:p>
      <w:r>
        <w:t>LIBÉRATION CONDITIONNELLE | 89 CP, 411 let. h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In casu, il apparaît expédient de statuer en premier lieu sur le moyen de nullité, dont l'admission est de nature à priver d'objet le recours en réforme.</w:t>
      </w:r>
    </w:p>
    <w:p>
      <w:r>
        <w:rPr>
          <w:b/>
        </w:rPr>
        <w:t>E. 2</w:t>
      </w:r>
    </w:p>
    <w:p>
      <w:r>
        <w:t>CP exige que le juge pose un pronostic quant au comportement futur de l'auteur de l'acte. Ce pronostic se fonde sur les mêmes critères qu'en matière d'octroi du sursis (TF, arrêt du 6 décembre 2007, 6B_303/2007, c. 6). Pour examiner si le condamné offre des garanties suffisantes qu'il se comportera conformément au droit dans le futur, il faut procéder à une appréciation globale de toutes les circonstances pertinentes du cas,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en outre suffisamment motiver sa décision, de manière à permettre de vérifier s'il a été tenu compte de tous les éléments pertinents et comment ils ont été appréciés (ATF 128 IV 193, c. 3a; ATF 118 IV 97, c. 2b; TF, arrêt du 12 novembre 2007, 6B_103/2007, c. 4.2.1). b) En l'espèce, le recourant, libéré provisoirement le 9 avril 2005, a derechef perpétré des délits, et cela en grand nombre, à partir du 16 avril suivant, ce jusqu'au 5 janvier 2008. Il y a donc eu réitération rapide, voire quasi-immédiate, ce pour une période prolongée. La nature et la gravité des infractions réprimées par le jugement du Tribunal correctionnel de l'arrondissement de l'Est vaudois du 15 dé cembre 2008 révèlent non seulement l'absence de tout amendement, mais encore la dangerosité de l'intéressé. Les éléments mentionnés à l'appui de la révocation sont conformes aux exigences de l'art. 89 al. 2 CP; aucun facteur étranger à ces réquisits n'a été pris en compte. Dans ces conditions, c'est à juste titre que les premiers juges ont posé un pronostic défavorable à l'égard du condamné. Le recourant ne s'est pas limité à poursuivre dans la délinquance. Il s'est également soustrait aux règles de l'assistance de probation et de conduite qui lui avaient été imposées. Dès lors que sa réintégration doit déjà être prononcée pour ce motif-là (fondé sur l'art. 89 al. 1 CP), celui déduit de l'art. 89 al. 3 CP devient superfétatoire dans l'appréciation des conditions de la révocation de la libération provisoire. L'art. 89 al. 1 CP primant l'art. 89 al. 3 CP, c'est dès lors à juste titre que le motif de révocation déduit de l'irrespect des règles de l'assistance de probation et de conduite n'a pas été développé par le tribunal correctionnel. c) Au surplus, vérifié d'office, le dies a quo de la révocation, fixé au 15 décembre 2008, procède de l'art. 89 al. 1 CP, attendu que la réintégration aurait pu être prononcée par le jugement condamnatoire du 15 décembre 2008 déjà. Il est au surplus favorable au condamné. Le recours en réforme doit dès lors être rejeté à l'instar du recours en nullité.</w:t>
      </w:r>
    </w:p>
    <w:p>
      <w:r>
        <w:rPr>
          <w:b/>
        </w:rPr>
        <w:t>E. 2.1</w:t>
      </w:r>
    </w:p>
    <w:p>
      <w:r>
        <w:t>a) S'agissant d'un recours en nullité fondé sur l'art. 411 let. h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c) S'agissant en particulier des renseignements obtenus sur la personne de l'accusé, il ne saurait, selon la jurisprudence (Cass. : M., du 29 décembre 1972, JT 1974 III 32), y avoir de lacune constitutive de nullité, au sens de l'art. 411 let. h CPP, dans le fait que le juge n'a pas mentionné, dans son jugement, certains éléments favorables à l'accusé résultant (in casu) d'un rapport de police (Bovay et alii., op. cit., n. 10.5 ad art. 411 CPP).</w:t>
      </w:r>
    </w:p>
    <w:p>
      <w:r>
        <w:rPr>
          <w:b/>
        </w:rPr>
        <w:t>E. 2.2</w:t>
      </w:r>
    </w:p>
    <w:p>
      <w:r>
        <w:t>a) La jurisprudence résumée ci-dessus est applicable par analogie en l'espèce. Ainsi, le tribunal correctionnel n'était pas tenu de reprendre les éléments du rapport final de la FVP - considérés par le recourant comme favorables -, dans la mesure ou il pouvait considérer qu'ils étaient sans incidence eu égard aux faits déterminants du dossier. b) Par surabondance, même s'il devait être admis que ce rapport aurait dû figurer dans le jugement et que celui-ci soit complété en ce sens, il n'y aurait pas pour autant de motif de nullité. En effet, cet avis n'a nullement la portée que le recourant tente de lui conférer, puisqu'il n'a pas été rédigé en toute connaissance de cause. Est déterminant à cet égard que, s'il mentionne certes que le recourant avait été détenu préventivement du 31 août au 10 septembre 2007, il n'en omet pas moins les infractions commises ultérieurement par l'intéressé. A ceci s'ajoute, comme on le verra sous l'angle de la réforme, que l'avis de la FVP, selon lequel une mise en garde est préférable à la révocation de la libération conditionnelle, doit céder le pas aux réitérations d'infractions et au pronostic défavorable posé à l'égard de l'intéressé qui en découle. c) Au surplus, dans la mesure où le recourant se prévaut, non seulement de l' omission du rapport dont il se prévaut, mais aussi de la teneur de cette pièce, son argumentation relève dans cette mesure-ci de la réforme. Elle sera dès lors examinée aux considérants ci-dessous. Le recours en nullité doit dès lors être rejeté. 3.1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hormis par la mention du passage topique du rapport final de la FVP du 30 avril 2008. 3.2 Selon l'art. 89 al. 1 CP si, durant le délai d'épreuve, le détenu libéré conditionnellement commet un crime ou un délit, le juge qui connaît de la nouvelle infraction ordonne sa réintégration dans l'établissement. A teneur de l'art. 89 al. 2 CP,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Aux termes de l'art. 89 al. 3 CP, l'art. 95 al. 3 à 5 CP est applicable si la personne libérée conditionnellement se soustrait à l'assistance de probation ou si elle viole les règles de conduite. Dans ces cas, l'art. 95 al. 4 let. a CP précise que le juge ou l'autorité d'exécution peut prolonger le délai d'épreuve jusqu'à concurrence de la moitié de sa durée (cf. également Maire, La libération conditionnelle, in Kuhn/Moreillon/Viredaz/Bichovsky, La nouvelle partie générale du Code pénal suisse, Berne 2006, pp. 365 s.). 4.1 Dans le cas particulier, c'est conformément à l'art. 89 al. 1 CP que la réintégration du recourant a été ordonnée par le juge ayant prononcé la dernière peine, s'agissant d'une libération conditionnelle révoquée au premier chef en raison de délits commis durant le délai d'épreuve par le détenu libéré conditionnellement. a) Le recourant fait cependant valoir que la révocation de la libération conditionnelle devait être précédée d'un avertissement, omis par les premiers juges mais mentionné par le rapport de la FVP du 30 avril 2008, déjà cité. Il se prévaut d'un arrêt rendu par le Tribunal fédéral le 13 juillet 1988 (cité par Favre, Pellet et Stoudmann, Code pénal annoté, 3e éd., Lausanne 2007, n. 1.5 ad art. 89 CP). Le rapport de la FVP mentionne notamment ce qui suit : "(…) nous sommes d'avis qu'il serait plus utile de lui (le recourant, réd.) adresser une mise en garde lui rappelant les conditions de sa libération anticipée que de prolonger notre mandat pour une durée d'une année plutôt que de prononcer une révocation pure et simple de cette dernière". b) Le nouveau droit, entré en vigueur le 1 er janvier 2007, est seul applicable (cf., ad art. 86 CP, par analogie, ATF 133 IV 201). L'art. 89 al. 1 CP pose le principe de la réintégration du détenu libéré conditionnellement qui, durant le délai d'épreuve, commet un crime ou un délit. Ce principe est toutefois grevé d'un régime dérogatoire, prévu par l'art. 89 al. 2 CP. Là réside du reste la différence d'avec l'ancien droit, lequel n'accordait au juge aucune marge d'appréciation en la matière (cf. TF, arrêt du 27 octobre 2000, 6A.98/2000). Il découle de la lettre de l'art. 89 al. 2 CP que l'avertissement n'est qu'une faculté accordée au juge. Cette norme est donc de nature potestative (Kann-Vorschrift). L'avertissement préalable est en revanche une condition impérative à la réintégration en cas de simple irrespect des règles de l'assistance de probation ou de celles de conduite, ceci en application de l'art. 95 al. 3 à 5 CP, applicable par renvoi de l'art. 89 al. 3 CP in fine précité. Il résulte de ce qu précède que seul l'art. 89 al. 1 et 2 CP est applicable ici, même lorsque la réitération de crimes ou de délits durant le délai d'épreuve est accompagnée, comme en l'espèce, d'un irrespect des règles de l'assistance de probation ou de celles de conduite. 4.2 Cela étant, la question à trancher est celle de savoir si c'est à juste titre que le tribunal correctionnel a posé un pronostic défavorable en application de l'art. 89 al. 2, 1 e phrase, CP, a contrario. a) Selon la jurisprudence, l'art. 89 al.</w:t>
      </w:r>
    </w:p>
    <w:p>
      <w:r>
        <w:rPr>
          <w:b/>
        </w:rPr>
        <w:t>E. 5</w:t>
      </w:r>
    </w:p>
    <w:p>
      <w:r>
        <w:t>En définitive, le recours doit être rejeté en application de l'art. 431 al. 2 CPP et le jugement confirmé. Vu l'issue du recours, les frais de deuxième instance, y compris l'indemnité allouée au défenseur d'office, par 484 fr. 20, sont mis à la charge du recourant (art. 450 al. 1 CPP). Le remboursement à l'Etat par le recourant de l'indemnité due à son défenseur d'office sera exigible pour autant que sa situation économique se soit améliorée (TF, arrêt du 5 décembre 2008, 6B_611/2008).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