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2009 / 457 vom 3. November 2009</w:t>
      </w:r>
    </w:p>
    <w:p>
      <w:r>
        <w:t>VD Tribunal cantonal, 2009-11-03, FR</w:t>
      </w:r>
    </w:p>
    <w:p>
      <w:r>
        <w:rPr>
          <w:b/>
        </w:rPr>
        <w:t xml:space="preserve">Quelle: </w:t>
      </w:r>
      <w:r>
        <w:t>https://mcp.opencaselaw.ch/entscheid/vd_findinfo_HC___2009___457</w:t>
      </w:r>
    </w:p>
    <w:p>
      <w:r>
        <w:t>FR: VD_FINDINFO HC / 2009 / 457 du 3 novembre 2009</w:t>
      </w:r>
    </w:p>
    <w:p>
      <w:r>
        <w:t>IT: VD_FINDINFO HC / 2009 / 457 del 3 novembre 2009</w:t>
      </w:r>
    </w:p>
    <w:p>
      <w:pPr>
        <w:pStyle w:val="Heading2"/>
      </w:pPr>
      <w:r>
        <w:t>Regeste</w:t>
      </w:r>
    </w:p>
    <w:p>
      <w:r>
        <w:t>VIOLATION D'UNE OBLIGATION D'ENTRETIEN, ACTION EN RÉPARATION DU TORT MORAL, TORT MORAL, DÉPENS | 217 al. 1 CP, 163 al. 1 CPP, 413 al. 1 CPP, 414 CPP, 417 al. 1 CPP, 418 al. 1 CPP, 418a CPP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conclusion, le recours doit être rejeté en application de l'art. 431 al. 2 CPP et le jugement confirmé. Vu l'issue du recours, les frais de deuxième instance, y compris l'indemnité allouée à son défenseur d'office, par 774 fr. 70, sont mis à la charge de la recourante (art. 450 al. 1 CPP). Le remboursement à l'Etat de l'indemnité due au défenseur d'office sera exigible pour autant que la situation économique de la recourante se soit améliorée (ATF 135 I 91 , c. 2.4, spéc. 2.4.3 ).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