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450 vom 23. Dezember 2009</w:t>
      </w:r>
    </w:p>
    <w:p>
      <w:r>
        <w:t>VD Tribunal cantonal, 2009-12-23, FR</w:t>
      </w:r>
    </w:p>
    <w:p>
      <w:r>
        <w:rPr>
          <w:b/>
        </w:rPr>
        <w:t xml:space="preserve">Quelle: </w:t>
      </w:r>
      <w:r>
        <w:t>https://mcp.opencaselaw.ch/entscheid/vd_findinfo_HC___2009___450</w:t>
      </w:r>
    </w:p>
    <w:p>
      <w:r>
        <w:t>FR: VD_FINDINFO HC / 2009 / 450 du 23 décembre 2009</w:t>
      </w:r>
    </w:p>
    <w:p>
      <w:r>
        <w:t>IT: VD_FINDINFO HC / 2009 / 450 del 23 dicembre 2009</w:t>
      </w:r>
    </w:p>
    <w:p>
      <w:pPr>
        <w:pStyle w:val="Heading2"/>
      </w:pPr>
      <w:r>
        <w:t>Regeste</w:t>
      </w:r>
    </w:p>
    <w:p>
      <w:r>
        <w:t>QUALITÉ POUR RECOURIR, DÉCISION INCIDENTE | 94 al. 1 CPC</w:t>
      </w:r>
    </w:p>
    <w:p>
      <w:pPr>
        <w:pStyle w:val="Heading2"/>
      </w:pPr>
      <w:r>
        <w:t>Erwägungen</w:t>
      </w:r>
    </w:p>
    <w:p>
      <w:r>
        <w:rPr>
          <w:b/>
        </w:rPr>
        <w:t>E. 1</w:t>
      </w:r>
    </w:p>
    <w:p>
      <w:r>
        <w:t>L'art. 94 al. 1 CPC ouvre un recours auprès du Tribunal cantonal contre l'adjudication de dépens. La jurisprudence a toutefois précisé que le recours prévu par la disposition précitée  n'est ouvert qu'aux seules décisions qui pourraient faire l'objet d'un recours - cantonal ou fédéral - en réforme et non seulement en nullité (Poudret/Haldy/Tappy, Procédure civile vaudoise,</w:t>
      </w:r>
    </w:p>
    <w:p>
      <w:r>
        <w:rPr>
          <w:b/>
        </w:rPr>
        <w:t>E. 3</w:t>
      </w:r>
    </w:p>
    <w:p>
      <w:r>
        <w:t>ème éd., Lausanne 2002, n. 1 ad art. 94 CPC, p. 186 et n. 2 ad art. 156 CPC, p. 285). Il en découle en particulier que le recours contre l'adjudication de dépens dans une décision incidente est en principe irrecevable (JT 1989 III 15). Toutefois, si la réforme tend à introduire une conclusion nouvelle, la décision rendue à ce sujet constitue un jugement principal contre lequel le recours en réforme est ouvert (Poudret/Haldy/Tappy, op. cit., n. 2 ad art 154 CPC, p. 282 et n. 19 ad art. 444 CPC, p. 662), si bien que le recours contre l'adjudication de dépens est également ouvert. En l'espèce, la réforme avait pour objet d'introduire des allégués nouveaux, avec les offres de preuve y relatifs, sans prendre des conclusions nouvelles, si bien que la décision incidente autorisant le dépôt de la "demande complémentaire" n'est pas susceptible d'un recours cantonal en réforme. Dès lors, le recours contre la décision incidente statuant sur le principe de l'adjudication des dépens frustraires est irrecevable (JT 1985 III 23). En ce qui concerne la conclusion subsidiaire relative à la quotité de ces mêmes dépens, il y a lieu de transmettre dans cette mesure la cause au Président du Tribunal cantonal comme objet de sa compétence (art. 94 al. 2 CPC; cf. JT 1985 III 23). 2. En définitive, le recours est irrecevable dans la mesure où il porte sur le principe des dépens frustraires. Le recours est transmis au Président du Tribunal cantonal dans la mesure où il porte sur le montant desdits dépens. L'arrêt peut être rendu sans frais. Par ces motifs, la Chambre des recours du Tribunal cantonal, statuant à huis clos, en application de l'art. 465 al. 1 CPC, prononce : I. Le recours est irrecevable dans la mesure où il porte sur le principe des dépens frustraires. II. Le recours est transmis au Président du Tribunal cantonal dans la mesure où il porte sur le montant desdits dépens. III. L'arrêt, rendu sans frais, est exécutoire. L e président : L e greffi er : Du L'arrêt qui précède, dont la rédaction a été approuvée à huis clos, est notifié en expédition complète, par l'envoi de photocopies, à : ‑      Me Marc Cheseaux (pour T.________), ‑      Me Stefan Disch (pour E.________ SA). La Chambre des recours considère que la valeur litigieuse est de 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