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 vom 20. April 2009</w:t>
      </w:r>
    </w:p>
    <w:p>
      <w:r>
        <w:t>VD Tribunal cantonal, 2009-04-20, FR</w:t>
      </w:r>
    </w:p>
    <w:p>
      <w:r>
        <w:rPr>
          <w:b/>
        </w:rPr>
        <w:t xml:space="preserve">Quelle: </w:t>
      </w:r>
      <w:r>
        <w:t>https://mcp.opencaselaw.ch/entscheid/vd_findinfo_HC___2009___45</w:t>
      </w:r>
    </w:p>
    <w:p>
      <w:r>
        <w:t>FR: VD_FINDINFO HC / 2009 / 45 du 20 avril 2009</w:t>
      </w:r>
    </w:p>
    <w:p>
      <w:r>
        <w:t>IT: VD_FINDINFO HC / 2009 / 45 del 20 aprile 2009</w:t>
      </w:r>
    </w:p>
    <w:p>
      <w:pPr>
        <w:pStyle w:val="Heading2"/>
      </w:pPr>
      <w:r>
        <w:t>Regeste</w:t>
      </w:r>
    </w:p>
    <w:p>
      <w:r>
        <w:t>POUVOIR D'EXAMEN, QUESTION DE FAIT, PRINCIPE DE LA BONNE FOI, BAIL À LOYER, SIGNATURE, PROCÈS-VERBAL | 2 CC, 253 CO, 171 CPC, 452 al. 1ter CPC</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Président du Tribunal des baux. Le recours, uniquement en réforme, interjeté en temps utile, est ainsi recevable.</w:t>
      </w:r>
    </w:p>
    <w:p>
      <w:r>
        <w:rPr>
          <w:b/>
        </w:rPr>
        <w:t>E. 2</w:t>
      </w:r>
    </w:p>
    <w:p>
      <w:r>
        <w:t>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b/aa) Le recourant se prévaut de l'audition d'un témoin, dont il n'a pas requis la verbalisation et dont la teneur des déclarations n'a pas été reprise dans le jugement. C'est par conséquent en vain que le recourant tente de tirer argument de ce que ce témoin aurait pu dire (JT 2001 III 80, c. 2c). Ce moyen doit être rejeté. bb) Le recourant fait valoir que sa signature sur les baux litigieux comporte deux "t" à la fin et qu'elle ne correspond pas à celle figurant sur le commandement de payer du 2 mai 2003. Selon l'art. 171 al. 1 CPC (applicable par renvoi des art. 15 LTB et 347 CPC), si une partie conteste l'authenticité de la signature sur un titre, la preuve de l'authenticité incombe à la partie qui s'en prévaut. Cette disposition règle donc la problématique du fardeau de la preuve et n'a pas de portée propre par rapport à l'art. 8 CC (Code civil du 10 décembre 1907; RS 210). Lorsque l'appréciation des preuves convainc le juge de la réalité ou de l'inexistence d'un fait, la question de la répartition du fardeau de la preuve ne se pose plus (ATF 127 III 271 c. 2b/aa). Il convient donc d'examiner si l'appréciation du premier juge peut être confirmée ou non. Le premier juge a comparé les signatures figurant sur les baux litigieux avec la signature sur la demande de location (pièce n° 7 du dossier pénal), que le recourant avait reconnue comme sienne dans le cadre de la procédure pénale, et les signatures du recourant recueillies par le juge d'instruction (pièce n° 9 du dossier pénal). Au vu de ces pièces, l'appréciation du premier juge selon laquelle on ne peut exclure l'authenticité des signatures sur les baux litigieux peut être confirmée. Le premier juge s'est également fondé sur les déclarations constantes, claires et partiellement corroborées par le recourant d'X.________ - alors que celles du recourant ont été confuses et contradictoires - pour retenir que le recourant avait bel et bien signé les baux litigieux. Les éléments invoqués par le recourant ne permettent pas d'infirmer cette appréciation. Au surplus, celui-ci n'a pas requis en première instance ou dans le cadre du présent recours la mise en œuvre d'une expertise graphologique et cette mesure ne saurait être ordonnée d'office, ce d'autant que le recourant a été assisté dans les deux instances par un mandataire professionnel (cf. Byrde/Giroud-Walther/Hack, in Procédure spéciales vaudoises, 2008, n. 6a ad art. 11 LTB, pp 120-121 et références). Ce moyen doit être rejeté. cc) En définitive, il y a lieu de considérer que l'état de fait du jugement, complété par les pièces du dossier, est conforme à celles-ci et aux autres preuves administrées. Il n'y a pas lieu de procéder à une instruction complémentaire, la cour de céans étant à même de statuer en réforme.</w:t>
      </w:r>
    </w:p>
    <w:p>
      <w:r>
        <w:rPr>
          <w:b/>
        </w:rPr>
        <w:t>E. 3</w:t>
      </w:r>
    </w:p>
    <w:p>
      <w:r>
        <w:t>Le recourant fait grief à l'intimée d'avoir convoqué X.________ à l'état des lieux d'entrée, alors qu'il était désigné comme locataire, d'avoir procédé à cet état des lieux alors que les contrats qu'elle lui avait communiqués le 24 décembre 2002 ne lui avaient pas été retournés signés par lui, d'avoir donné les clefs à un tiers et encaissé une garantie locative sans poser la moindre question sur l'identité de la personne présente et les rapports de celle-ci avec le locataire désigné par le bail. Il soutient en conséquence que l'intimée a commis une négligence entraînant sa responsabilité dans le dommage subi et qu'au surplus, la forme écrite prévue contractuellement n'a pas été respectée, les contrats qui lui ont été envoyés n'ayant jamais été signés par lui. Le recourant perde de vue toutefois que le courrier de la gérante de l'immeuble du 24 décembre 2002 parle des "doubles des contrats", soit les exemplaires destinés au locataire, et ne requiert pas qu'il lui soient retournés signés. Le recourant devait de bonne foi comprendre que ces exemplaires des contrats litigieux lui étaient adressés en tant que titulaire du bail afin qu'il en ait un exemplaire de chaque à sa disposition. Ce faisant, la gérante de l'immeuble a correctement accompli ses incombances de bailleresse découlant du fait que le titulaire des baux et la personne occupant les locaux n'étaient pas la même. Au regard des règles de la bonne foi (art. 2 CC), le recourant ne pouvait considérer ce courrier comme une offre de conclure les baux, ce d'autant qu'il mentionne que la garantie de loyer a déjà été versée et n'indique pas qu'elle lui sera restituée en cas de non-conclusion des contrats. Le recourant ne pouvait donc se borner à conserver ces doubles et devait, s'il ne comprenait pas la démarche de la gérante de l'immeuble, au minimum prendre contact avec celle-ci pour éclaircir la situation, ce qui lui aurait permis de contester à ce moment là avoir conclu les baux en cause. Au vu de ces éléments, on ne saurait retenir une responsabilité de la défenderesse dans la survenance du dommage découlant du fait qu'X.________ n'a pas réglé les loyers prévus contractuellement. Le recours doit être rejeté sur ce point.</w:t>
      </w:r>
    </w:p>
    <w:p>
      <w:r>
        <w:rPr>
          <w:b/>
        </w:rPr>
        <w:t>E. 4</w:t>
      </w:r>
    </w:p>
    <w:p>
      <w:r>
        <w:t>Pour le surplus les considérations du premier juge sur le fondement et l'étendue de la créance de l'intimée, complètes et convaincantes, peuvent être confirmées par adoption de motifs (art. 471 al. 3 CPC). Elles ne sont d'ailleurs pas contestées.</w:t>
      </w:r>
    </w:p>
    <w:p>
      <w:r>
        <w:rPr>
          <w:b/>
        </w:rPr>
        <w:t>E. 5</w:t>
      </w:r>
    </w:p>
    <w:p>
      <w:r>
        <w:t>En conclusion, le recours doit être rejeté en application de l'art. 465 al. 1 CPC et le jugement confirmé. Les frais de deuxième instance du recourant sont arrêtés à 350 fr. (art. 230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F.________ sont arrêtés à 350 fr. (trois cent cinquante francs). IV. L'arrêt motivé est exécutoire. L e président : L e greffi er : Du 20 avril 2009 Le dispositif de l'arrêt qui précède est communiqué par écrit aux intéressés. L e greffi er : Du L'arrêt qui précède, dont la rédaction a été approuvée à huis clos, est notifié en expédition complète, par l'envoi de photocopies, à : ‑      M. Philippe Cherpillod (pour F.________), ‑      M. Jean-Marc Decollogny (pour T.________ SA). La Chambre des recours considère que la valeur litigieuse est de 17'752 fr.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