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445 vom 2. November 2009</w:t>
      </w:r>
    </w:p>
    <w:p>
      <w:r>
        <w:t>VD Tribunal cantonal, 2009-11-02, FR</w:t>
      </w:r>
    </w:p>
    <w:p>
      <w:r>
        <w:rPr>
          <w:b/>
        </w:rPr>
        <w:t xml:space="preserve">Quelle: </w:t>
      </w:r>
      <w:r>
        <w:t>https://mcp.opencaselaw.ch/entscheid/vd_findinfo_HC___2009___445</w:t>
      </w:r>
    </w:p>
    <w:p>
      <w:r>
        <w:t>FR: VD_FINDINFO HC / 2009 / 445 du 2 novembre 2009</w:t>
      </w:r>
    </w:p>
    <w:p>
      <w:r>
        <w:t>IT: VD_FINDINFO HC / 2009 / 445 del 2 novembre 2009</w:t>
      </w:r>
    </w:p>
    <w:p>
      <w:pPr>
        <w:pStyle w:val="Heading2"/>
      </w:pPr>
      <w:r>
        <w:t>Regeste</w:t>
      </w:r>
    </w:p>
    <w:p>
      <w:r>
        <w:t>CONTRAT DE TRAVAIL, COMPÉTENCE, CONVENTION D'ARBITRAGE, DROIT IMPÉRATIF, ARBITRABILITÉ | 5 C-Arb, 341 al. 1 CO, 452 al. 1ter CPC, 60 CPC, 1 al. 1 LFors, 24 LFors</w:t>
      </w:r>
    </w:p>
    <w:p>
      <w:pPr>
        <w:pStyle w:val="Heading2"/>
      </w:pPr>
      <w:r>
        <w:t>Erwägungen</w:t>
      </w:r>
    </w:p>
    <w:p>
      <w:r>
        <w:rPr>
          <w:b/>
        </w:rPr>
        <w:t>E. 1</w:t>
      </w:r>
    </w:p>
    <w:p>
      <w:r>
        <w:t>L'art. 60 CPC (Code de procédure civile du 14 décembre 1966; RSV 270.11) ouvre la voie du recours en réforme et en nullité contre tout jugement sur déclinatoire, la nullité ne devant être prononcée que s'il n'est pas possible de remédier à l'informalité dans le cadre du recours en réforme, notamment en cas de violation du droit d'être entendu (JT 1999 III 2 et 106, c. 3a). Le recours, uniquement en réforme, interjeté en temps utile, est ainsi recevable.</w:t>
      </w:r>
    </w:p>
    <w:p>
      <w:r>
        <w:rPr>
          <w:b/>
        </w:rPr>
        <w:t>E. 2</w:t>
      </w:r>
    </w:p>
    <w:p>
      <w:r>
        <w:t>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 (JT 2003 III 16, c. 2a).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La recourante soutient que la clause compromissoire prévoyant la compétence d'un tribunal arbitral ayant siège à Berne est valable et que l'art. 24 LFors (loi fédérale du 24 mars 2000 sur les fors en matière civile; RS 272) ne rend pas cette clause inopérante. La LFors ne régit que la compétence à raison du lieu (art. 1 al. 1 LFors) pour les tribunaux étatiques. A son article 1 alinéa 3, le projet du Conseil fédéral sur la LFors prévoyait que "la présente loi n'affecte en rien la liberté des parties de convenir d'un tribunal arbitral pour autant qu'elles n'éludent pas, ce faisant, un for impératif". Lors des débats devant les Chambres fédérales, cette disposition a été retirée (Donzallaz, Commentaire de la loi fédérale sur les fors en matière civile, 2001, n. 16 ad art. 1 er LFors, p. 117). La doctrine majoritaire en a conclu que les conventions d'arbitrage étaient valables nonobstant les fors impératifs de la LFors. Il en découle que le siège du tribunal arbitral ne doit pas obligatoirement être prévu au lieu d'un for impératif et que les parties peuvent au contraire le choisir librement (Dasser, Kommentar GestG, Mülller/Wirth Hrsg, 2001, n. 75 ad art. 1 er LFors, p. 55; Meyer, Basler Kommentar, 2001, n. 20 ad art. 1 LFors, p. 36; Gasser, Kommentar GestG, Kellerhals/von Werdt/Güngerich Hrsg, 2001, n. 43 ad art. 1 er LFors, p. 12; Kellerhals, "Bemerkungen zum Anwendungsbereich des Bundesgesetzes über den Gerichtsstand in Zivilsachen", in Mélanges en l'honneur de Henri-Robert Schüpbach, 2000, p. 224; Poudret, "l'arbitre n'a pas de for", in Mélanges en l'honneur de Henri-Robert Schüpbach, pp. 227 ss; contra Infanger, Basler Kommentar, 2001, n. 27 ad art. 2 LFors, pp. 46-47 et références, qui se fonde sur le but de l'art. 2 LFors et relève son grave affaiblissement par la solution majoritaire). Tel est en particulier le cas en matière de bail commercial, même sous l'empire de la LFors (Kellerhals, op. cit., p. 224, note infrapaginale 46 et référence à Higi, Zürcher Kommentar, n. 69 ad art. 274a CO), dès lors que l'article 274c CO (Code des obligations du 30 mars 1911; RS 220) admet l'arbitrage pour les baux commerciaux (Lachat, Le bail à loyer 2 ème éd., 2008, p. 135). Ces considérations, fondées sur les travaux parlementaires, s'appliquent également à la règle de l'art. 24 LFors en matière de droit du travail (Streiff/von Kaenel, Arbeitsvertrag, 6 ème éd., 2006, n. 8 ad art. 343 CO, p. 922; Balz Gross, Kommentar GestG, Müller/Wirth Hrsg, 2001, n. 8 ad art. 24 LFors, note infrapaginale 4, p. 594). Les avis contraires de la doctrine relative à l'art. 343 al. 1 CO (Staehelin/Vischer, Zürcher Kommentar, 1996, n. 4 ad art. 343 CO, p. A 822 et références; Aubert, L'arbitrage en droit du travail, Bulletin ASA 1/2000, pp 5 et 6 et références), repris par Wyler (Le droit du travail, 2 ème éd., 2008, p. 626 et référence) - sur lequel s'est fondé le premier juge - ne sont plus d'actualité, vu la claire volonté du législateur de la LFors. Il n'est dès lors pas nécessaire d'examiner si la clause compromissoire en cause viole l'art. 24 LFors. Toutefois, cela ne signifie pas encore que le recours doive être admis. b) En effet, l'art. 5 C-Arb (Concordat du 27 août 1969 sur l'arbitrage; RSV 278.91), qui régit l'arbitrage interne dans tous les cantons de Suisse (Streiff/von Kaenel, op. cit., n. 8 ad art. 343 CO, p. 922), dispose que l'arbitrage peut porter sur tout droit qui relève de la libre disposition des parties, à moins que la cause ne soit de la compétence exclusive d'une autorité étatique en vertu d'une disposition impérative de la loi . Or, l'art. 341 al. 1 CO dispose que le travailleur ne peut pas renoncer, pendant la durée du contrat et durant le mois qui suit la fin de celui-ci aux créances résultant de dispositions impératives de la loi ou d'une convention collective. La doctrine est partagée sur le point de savoir si cette disposition ôte aux parties la libre disposition d'un droit au sens de l'art. 5 C-Arb, ce qui exclurait le choix de la voie arbitrale pendant les rapports de travail et le mois qui suit la fin de ceux-ci. Rehbinder le nie pour le motif que l'art. 341 al. 1 CO n'interdit pas au travailleur une renonciation par transaction et que le procès est soumis à la maxime de disposition dans laquelle les parties, à la différence du droit de la filiation, déterminent librement l'objet du litige. La procédure arbitrale n'a en outre pas à respecter les principes de l'art. 343 CO, cette question relevant exclusivement de la compétence cantonale (Rehbinder, Berner Kommentar, 1992, n. 10 et 22 ad art. 343 CO, pp. 306-307 et 317); Jolidon considère que, dès lors que l'arbitrage interne est du ressort du droit cantonal, les litiges en matière de contrat de travail sont arbitrables (Jolidon, Commentaire du concordat suisse de l'arbitrage, 2004, p. 165). Portmann est du même avis en relevant qu'en matière internationale, l'arbitrage en matière du droit du travail est autorisé et en précisant que la procédure arbitrale doit respecter les principes de l'art. 343 CO (Portmann, Basler Kommentar,</w:t>
      </w:r>
    </w:p>
    <w:p>
      <w:r>
        <w:rPr>
          <w:b/>
        </w:rPr>
        <w:t>E. 4</w:t>
      </w:r>
    </w:p>
    <w:p>
      <w:r>
        <w:t>Pour le surplus, c'est avec raison que le premier juge a admis le for du lieu de sa juridiction. Ses développements sur ce point, complets et convaincants, peuvent être confirmés par adoption de motifs (art. 471 al. 3 CPC).</w:t>
      </w:r>
    </w:p>
    <w:p>
      <w:r>
        <w:rPr>
          <w:b/>
        </w:rPr>
        <w:t>E. 5</w:t>
      </w:r>
    </w:p>
    <w:p>
      <w:r>
        <w:t>En conclusion, le recours doit être rejeté en application de l'art. 465 al. 1 CPC et le jugement incident confirmé. Les frais de deuxième instance de la recourante sont arrêtés à 400 fr. (art. 232 et 235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J.________ AG sont arrêtés à 400 fr. (quatre cents francs). IV. L'arrêt motivé est exécutoire. L e président : L e greffi er : Du 2 novembre 2009 Le dispositif de l'arrêt qui précède est communiqué par écrit aux intéressés. L e greffi er : Du L'arrêt qui précède, dont la rédaction a été approuvée à huis clos, est notifié en expédition complète, par l'envoi de photocopies, à : ‑      Me Gilles Robert-Nicoud (pour J.________ AG), ‑      Me Olivier Subilia (pour N.________). La Chambre des recours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