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443 vom 8. Dezember 2009</w:t>
      </w:r>
    </w:p>
    <w:p>
      <w:r>
        <w:t>VD Tribunal cantonal, 2009-12-08, FR</w:t>
      </w:r>
    </w:p>
    <w:p>
      <w:r>
        <w:rPr>
          <w:b/>
        </w:rPr>
        <w:t xml:space="preserve">Quelle: </w:t>
      </w:r>
      <w:r>
        <w:t>https://mcp.opencaselaw.ch/entscheid/vd_findinfo_HC___2009___443</w:t>
      </w:r>
    </w:p>
    <w:p>
      <w:r>
        <w:t>FR: VD_FINDINFO HC / 2009 / 443 du 8 décembre 2009</w:t>
      </w:r>
    </w:p>
    <w:p>
      <w:r>
        <w:t>IT: VD_FINDINFO HC / 2009 / 443 del 8 dicembre 2009</w:t>
      </w:r>
    </w:p>
    <w:p>
      <w:pPr>
        <w:pStyle w:val="Heading2"/>
      </w:pPr>
      <w:r>
        <w:t>Regeste</w:t>
      </w:r>
    </w:p>
    <w:p>
      <w:r>
        <w:t>BAIL À LOYER, EXPULSION DE LOCATAIRE, SOUS-LOCATION, RÉSILIATION IMMÉDIATE, DEMEURE DU DÉBITEUR, SOUS-LOCATAIRE | 257d al. 1 CO, 257d al. 2 CO, 257d CO, 457 al. 1 CPC, 23 LPEBL, 29 LPEBL</w:t>
      </w:r>
    </w:p>
    <w:p>
      <w:pPr>
        <w:pStyle w:val="Heading2"/>
      </w:pPr>
      <w:r>
        <w:t>Erwägungen</w:t>
      </w:r>
    </w:p>
    <w:p>
      <w:r>
        <w:rPr>
          <w:b/>
        </w:rPr>
        <w:t>E. 1</w:t>
      </w:r>
    </w:p>
    <w:p>
      <w:r>
        <w:t>a) 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Celui-ci peut aboutir soit à la réforme soit à l'annulation de la décision attaquée (JT 2004 III 43 c. 1a et les réf. citées). b) En l'espèce, le recours a été déposé en temps utile par le locataire expulsé. S'agissant des conclusions du recours, on déduit des termes employés et des motifs développés que le recourant conclut à la réforme de l'ordonnance entreprise, en ce sens que la requête d'expulsion est rejetée. Par ailleurs, le recourant n'invoque aucun grief pouvant s'apparenter à un des moyens de nullité prévus à l'art. 23 al. 1 LPEBL. Le recours est ainsi formellement recevable.</w:t>
      </w:r>
    </w:p>
    <w:p>
      <w:r>
        <w:rPr>
          <w:b/>
        </w:rPr>
        <w:t>E. 2</w:t>
      </w:r>
    </w:p>
    <w:p>
      <w:r>
        <w:t>a)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119 lI 241 c. 4b et c). Autrement dit, l'art. 23 LPEBL, qui confère un pouvoir d'examen limité à la Chambre des recours, ne saurait s'appliquer lorsque la validité du congé a été contestée. En pareil cas, la Chambre des recours doit disposer d'un libre pouvoir d'examen en droit tel que le prévoit l'art. 457 al. 2 CPC pour le recours en réforme contre les décisions du juge de paix (JT 2009 III 79; 2004 III 79). En l'espèce, le recourant n'a pas saisi préalablement la Commission de conciliation compétente pour contester la validité du congé, de sorte que le présent recours doit être examiné sous l'angle restreint de l'arbitraire (cf. Guignard in Ducret et alii, Procédures spéciales vaudoises, Lausanne 2008, n. 3 ad art. 23 LPEBL; Poudret/Haldy/Tappy, Procédure civile vaudoise,</w:t>
      </w:r>
    </w:p>
    <w:p>
      <w:r>
        <w:rPr>
          <w:b/>
        </w:rPr>
        <w:t>E. 3</w:t>
      </w:r>
    </w:p>
    <w:p>
      <w:r>
        <w:t>a) Les liens juridiques qui unissent les parties sont ceux de sous-locataire (le recourant) à locataire principal (Service social de H.________), selon contrat de sous-location du 26 février 2007, auquel s'appliquent toutes les règles des art. 253 ss CO (cf. Lachat, Le bail à loyer, Lausanne 2008, n. 2.3.1, p. 575 s.)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(al. 1). Faute de paiement dans le délai fixé, le bailleur peut résilier le contrat avec effet immédiat; les baux d'habitation peuvent être résiliés moyennant un délai de congé minimum de 30 jours pour la fin d'un mois (al. 2). En l'espèce, le recourant a été mis en demeure de s'acquitter de la somme de 12'200 fr., représentant l'arriéré de loyer pour la période du 1 er février 2008 au 28 février 2009 - loyers antérieurs faisant l'objet d'un arrangement de paiement par mensualités de 150 fr. non compris -, dans un délai de trente jours, sous menace expresse d'une résiliation de bail, par courrier recommandé du 9 février 2009. La commination est ainsi conforme aux exigences de l'art. 257d al. 1 CO. Le montant réclamé n'ayant pas été versé dans le délai comminatoire imparti, l'intimée était dès lors autorisée à résilier le contrat conformément à l'art. 257d al. 2 CO. Elle a adressé au recourant l'avis de résiliation pour le 30 juin 2009 par formule officielle du 14 mai 2009, soit après l'échéance du délai de paiement. Cet avis ayant été notifié à son destinataire le 23 mai 2009, l'échéance du délai de congé respecte la durée minimum de trente jours prévue par la loi. c) Le recourant se prévaut d'un "arrangement oral" qui aurait été passé, lors de l'audience du 10 juin 2009 devant la Présidente du Tribunal des baux, entre lui-même et la représentante d'[...] (Unité logement du Service social de H.________), aux termes duquel sa dette de loyer envers l'intimée aurait été "annulée". Or, s'il est vrai qu'un accord a été trouvé entre parties lors de l'audience en question, celui-ci a consisté en une transaction sur l'objet du litige porté devant le Tribunal des baux (demande de réduction du loyer pour défauts de la chose louée, selon le recourant). Selon le procès-verbal de cette audience (produit par la partie bailleresse), le recourant a retiré sa requête devant le Tribunal des baux et l'intimée s'est engagée pour sa part "à ne pas requérir l'exécution forcée de l'ordonnance d'expulsion contre Q.________ jusqu'au 30 septembre 2009". Il n'est pas question dans cette transaction d'un abandon de la créance de H.________ portant sur l'arriéré de loyers ici litigieux. La preuve d'un tel "abandon de créance" par un soi-disant accord oral n'est au demeurant pas rapportée. Non seulement le recourant se contredit lorsqu'il affirme avoir "commencé (à payer le loyer courant) en octobre 2009", mais ses allégations sur ce point sont fermement contestées par l'intimée, qui se réfère à "des procédés constants diligentés contre son débiteur" depuis qu'il occupe l'appartement de secours mis à sa disposition. Rien au dossier ne vient contredire cette prise de position. d) Quant aux autres arguments soulevés par le recourant, ayant trait à ses difficultés financières, à ses efforts considérables pour s'en sortir et au risque de poursuites qu'il encourt s'il ne paie pas ses factures, ils sont sans pertinence quant au sort réservé, sans arbitraire, par le premier juge à la requête d'expulsion de l'intimée. Si tant est que le recourant invoque à nouveau la protection sociale que doivent lui assurer les services sociaux (cf. mémoire de recours, let. g), on ne peut que renvoyer aux considérations déjà développées à ce propos par la cour de céans dans son précédent arrêt du 14 janvier 2009, qui relevait, au c. 3d (p. 7), que "tant la protection sociale que le droit au logement n'empêchent pas de recourir à la procédure d'expulsion de l'art. 257d CO, lorsque les conditions en sont réalisées. Au demeurant, […], l'appartement qui a été mis à disposition du recourant ne lui a été attribué qu'à titre provisoire, ses revenus excédant apparemment les normes admissibles en matière d'assistance sociale".</w:t>
      </w:r>
    </w:p>
    <w:p>
      <w:r>
        <w:rPr>
          <w:b/>
        </w:rPr>
        <w:t>E. 4</w:t>
      </w:r>
    </w:p>
    <w:p>
      <w:r>
        <w:t>En définitive, c'est à juste titre que le premier juge a considéré que l'expulsion du recourant pouvait être ordonnée. Partant, le recours, mal fondé, doit être rejeté et l'ordonnance confirmée. Les frais de deuxième instance du recourant sont arrêtés à 422 francs (art. 230 al. 2 TFJC [tarif du 4 décembre 1984 des frais judiciaires en matière civile; RSV 270.11.5]). Il n'y a pas lieu d'allouer des dépens de deuxième instance à l'intimée, qui a procédé seule. Par ces motifs, la Chambre des recours du Tribunal cantonal, statuant à huis clos, prononce : I. Le recours est rejeté. II. L'ordonnance est confirmée. III. Les frais de deuxième instance du recourant Q.________ sont arrêtés à 422 fr. (quatre cent vingt-deux francs). IV. Il n'est pas alloué de dépens de deuxième instance. V. L'arrêt motivé est exécutoire. L e président : L e greffi er : Du 8 décembre 2009 Le dispositif de l'arrêt qui précède est communiqué par écrit aux intéressés. L e greffi er : Du L'arrêt qui précède, dont la rédaction a été approuvée à huis clos, est notifié à : ‑ Q.________, ‑ H.________.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