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442 vom 28. Oktober 2009</w:t>
      </w:r>
    </w:p>
    <w:p>
      <w:r>
        <w:t>VD Tribunal cantonal, 2009-10-28, FR</w:t>
      </w:r>
    </w:p>
    <w:p>
      <w:r>
        <w:rPr>
          <w:b/>
        </w:rPr>
        <w:t xml:space="preserve">Quelle: </w:t>
      </w:r>
      <w:r>
        <w:t>https://mcp.opencaselaw.ch/entscheid/vd_findinfo_HC___2009___442</w:t>
      </w:r>
    </w:p>
    <w:p>
      <w:r>
        <w:t>FR: VD_FINDINFO HC / 2009 / 442 du 28 octobre 2009</w:t>
      </w:r>
    </w:p>
    <w:p>
      <w:r>
        <w:t>IT: VD_FINDINFO HC / 2009 / 442 del 28 ottobre 2009</w:t>
      </w:r>
    </w:p>
    <w:p>
      <w:pPr>
        <w:pStyle w:val="Heading2"/>
      </w:pPr>
      <w:r>
        <w:t>Regeste</w:t>
      </w:r>
    </w:p>
    <w:p>
      <w:r>
        <w:t>CONTRAT D'ENTREPRISE, GARANTIE EN RAISON DES DÉFAUTS DE LA CHOSE, DROIT À LA RÉDUCTION DU PRIX, DÉFAUT DE LA CHOSE, MOYEN DE DROIT CANTONAL, OBLIGATION DE RENSEIGNER, DÉLAI DE RECOURS, RECOURS JOINT | 365 al. 3 CO, 368 al. 2 CO, 447 ch. 1 let. b CPC, 457 CPC, 458 al. 2 CPC, 466 al. 1 CPC</w:t>
      </w:r>
    </w:p>
    <w:p>
      <w:pPr>
        <w:pStyle w:val="Heading2"/>
      </w:pPr>
      <w:r>
        <w:t>Erwägungen</w:t>
      </w:r>
    </w:p>
    <w:p>
      <w:r>
        <w:rPr>
          <w:b/>
        </w:rPr>
        <w:t>E. 6</w:t>
      </w:r>
    </w:p>
    <w:p>
      <w:r>
        <w:t>La Chambre des recours ayant été à même de statuer en réforme sur la base du jugement et du dossier, le grief subsidiaire d'insuffisance de l'état de fait, soulevé par le recourant, est mal fondé.</w:t>
      </w:r>
    </w:p>
    <w:p>
      <w:r>
        <w:rPr>
          <w:b/>
        </w:rPr>
        <w:t>E. 7</w:t>
      </w:r>
    </w:p>
    <w:p>
      <w:r>
        <w:t>En conclusion, le recours doit être rejeté en application de l'art. 465 al. 1 CPC et le jugement confirmé. Les frais de deuxième instance du recourant sont arrêtés à 350 fr. (art. 230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T.________ sont arrêtés à 350 fr. (trois cent cinquante francs). IV. L'arrêt motivé est exécutoire. L e président : L e greffi er : Du 28 octobre 2009 Le dispositif de l'arrêt qui précède est communiqué par écrit aux intéressés. L e greffi er : Du L'arrêt qui précède, dont la rédaction a été approuvée à huis clos, est notifié en expédition complète, par l'envoi de photocopies, à : ‑      M. Jean-Marc Schlaeppi (pour T.________), ‑      Mme W.________. La Chambre des recours considère que la valeur litigieuse est de 5'199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