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421 vom 14. September 2009</w:t>
      </w:r>
    </w:p>
    <w:p>
      <w:r>
        <w:t>VD Tribunal cantonal, 2009-09-14, FR</w:t>
      </w:r>
    </w:p>
    <w:p>
      <w:r>
        <w:rPr>
          <w:b/>
        </w:rPr>
        <w:t xml:space="preserve">Quelle: </w:t>
      </w:r>
      <w:r>
        <w:t>https://mcp.opencaselaw.ch/entscheid/vd_findinfo_HC___2009___421</w:t>
      </w:r>
    </w:p>
    <w:p>
      <w:r>
        <w:t>FR: VD_FINDINFO HC / 2009 / 421 du 14 septembre 2009</w:t>
      </w:r>
    </w:p>
    <w:p>
      <w:r>
        <w:t>IT: VD_FINDINFO HC / 2009 / 421 del 14 settembre 2009</w:t>
      </w:r>
    </w:p>
    <w:p>
      <w:pPr>
        <w:pStyle w:val="Heading2"/>
      </w:pPr>
      <w:r>
        <w:t>Regeste</w:t>
      </w:r>
    </w:p>
    <w:p>
      <w:r>
        <w:t>FIXATION DE LA PEINE | 47 CP, 411 let. h CPP, 411 let. i CPP, 415 CPP</w:t>
      </w:r>
    </w:p>
    <w:p>
      <w:pPr>
        <w:pStyle w:val="Heading2"/>
      </w:pPr>
      <w:r>
        <w:t>Erwägungen</w:t>
      </w:r>
    </w:p>
    <w:p>
      <w:r>
        <w:rPr>
          <w:b/>
        </w:rPr>
        <w:t>E. 1</w:t>
      </w:r>
    </w:p>
    <w:p>
      <w:r>
        <w:t>Le recours est principalement en réforme, subsidiairement en nullité, hormis une conclusion plus subsidiaire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dont l'admission serait de nature à priver d'objet les conclusions en réforme.</w:t>
      </w:r>
    </w:p>
    <w:p>
      <w:r>
        <w:rPr>
          <w:b/>
        </w:rPr>
        <w:t>E. 2</w:t>
      </w:r>
    </w:p>
    <w:p>
      <w:r>
        <w:t>Le recourant ne se prévaut expressément d'aucune norme légale, s'agissant en particulier de l'un au moins des divers motifs d'annulation énoncés par l'art. 411 CPP. a) Selon une jurisprudence constante, la Cour de cassation détermine la nature du recours d'après la question soulevée et les moyens invoqués, et non pas selon les termes inadéquats que le recourant a pu utiliser dans son acte de recours (Bovay/Dupuis/Monnier/Moreillon/Piguet, op. cit, n. 3 ad art. 410 CPP; JT 1982 III 62). En l'espèce, il doit être déduit des moyens invoqués que le recourant conteste les faits retenus à sa charge et l'appréciation qui en a été faite par le premier juge, tenue pour arbitraire. Ces griefs recouvrent le motif d'annulation prévu par l'art. 411 let. h ou i CPP. b) A l'aune de cette norme,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 et alii, op. cit., n. 10.2 ad art. 411 CPP et les réf. cit.). La Cour de cassation n'étant pas une juridiction d'appel, le moyen de nullité tiré de l'art. 411 lettres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w:t>
      </w:r>
    </w:p>
    <w:p>
      <w:r>
        <w:rPr>
          <w:b/>
        </w:rPr>
        <w:t>E. 3</w:t>
      </w:r>
    </w:p>
    <w:p>
      <w:r>
        <w:t>Dans la mesure où le recourant se limite à opposer sa version des faits à celle du tribunal de police, ses moyens sont purement appellatoires et doivent, partant, être écartés. Au surplus, le recourant se réfère à diverses pièces issues du dossier, invoqués à l'appui d'une argumentation dont on peut déduire que son épouse n'aurait entamé une relation avec lui que dans le dessein de capter un titre de séjour en Suisse par mariage. Même avéré, cet élément serait dépourvu de portée pour l'issue de la cause sous l'angle de la nullité. Partant, il n'infirme nullement l'appréciation du premier juge. Il suffit dès lors de constater que le jugement se fonde sur les faits établis, qui ont été appréciés sans arbitraire. Au vrai, le moyen invoqué relève de l'appréciation de la culpabilité et, partant, de la réforme (cf. ci-dessous).</w:t>
      </w:r>
    </w:p>
    <w:p>
      <w:r>
        <w:rPr>
          <w:b/>
        </w:rPr>
        <w:t>E. 4</w:t>
      </w:r>
    </w:p>
    <w:p>
      <w:r>
        <w:t>Sous l'angle de la réforme, le recourant conclut à ce que "la peine infligée" soit réduite dans telle mesure que justice dira. On peut déduire de ses moyens que, malgré l'usage du singulier, cette conclusion englobe aussi l'amende. 4.1a)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c) En l'espèce, la principale infraction en cause est celle de calomnie qualifiée. L'art. 174 ch. 2 CP réprime ce délit d'une peine privative de liberté de trois ans au plus, respectivement d'une peine pécuniaire de 30 jours-amende au moins. En prononçant une peine pécuniaire de 90 jours-amende pour réprimer des infractions diverses (hormis l'utilisation abusive d'une installation de télécommunication, réprimée séparément, cf. c. 4.2c ci-dessous), le tribunal correctionnel n'a pas tenu compte d'éléments étrangers à l'art. 47 CP. Ceux pris en considération, tant à charge qu'à décharge, sont complets et pertinents. En particulier, le tribunal de police a retenu à décharge le conflit conjugal dans lequel l'accusé était impliqué. Ce faisant, il a implicitement tenu compte du fait, mentionné par l'intéressé, que la tension entre époux avait été exacerbée par le fait que l'accusé estimait que sa conjointe ne s'était mariée que pour obtenir une autorisation de séjour. La peine prononcée se situe dans le cadre légal. Au surplus, la sanction tient compte du concours d'infractions.</w:t>
      </w:r>
    </w:p>
    <w:p>
      <w:r>
        <w:rPr>
          <w:b/>
        </w:rPr>
        <w:t>E. 4.2</w:t>
      </w:r>
    </w:p>
    <w:p>
      <w:r>
        <w:t>Le montant du jour-amende doit être fixé en application de l'art. 34 al. 2 CP. a) Pour déterminer le revenu, le juge doit prendre en considération l'ensemble des revenus en tout genre (revenus de l'activité lucrative, de rentes ou de pensions, de placements de capitaux, de la fortune immobilière, prestations en nature, etc.). Il doit ensuite déduire les contributions sociales, les impôts, les primes d'assurance-maladie et accidents, les frais professionnels et les frais indispensables à l'exercice de la profession. Il est également prescrit de tenir compte des obligations d'assistance - en particulier familiales - du condamné (Maire, Les peines pécuniaires, in Kuhn/Moreillon/Viredaz/Bichovsky, La nouvelle partie générale du Code pénal suisse, Berne 2006, p. 165). Il ressort également du Message du Conseil fédéral d'une part que le montant du jour-amende ne doit pas correspondre à la part du revenu qui reste à l'auteur une fois déduit le minimum vital du droit des poursuites et, d'autre part, que la nouvelle réglementation doit en principe permettre d'infliger à tout auteur une peine pécuniaire correspondant à ce que l'auteur a les moyens de payer et à ce qui peut raisonnablement être exigé de lui, compte tenu des longs délais de paiement et de la possibilité de paiement par acomptes (FF 1999, p. 1787, spéc. p. 1826).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la fixation d'un montant minimum en matière de fixation du jour-amende. Il s'agit d'une décision délibérée du législateur, qui exclut l'adoption d'un montant plancher par la voie jurisprudentielle. Le montant du jour-amende ne saurait toutefois être réduit au point de ne plus avoir qu'une valeur symbolique (cf. arrêt du Tribunal fédéral 6B_217/2007, du 14 avril 2008, c. 2.1.5 et les références citées, BJP 2007 n°190 et Cass. M., 18 juin 2007, n°150).         Le Tribunal fédéral a de ce fait fixé le montant minimum du jour-amende à 10 fr. (TF, arrêt 6B_769/2008, du 18 juin 2009, ad Cass du 28 avril 2008, destiné à la publication). b) En l'occurence, il résulte de l'état de fait que l'accusé, en attente d'une décision de rente de l'AI, dépend de l'aide sociale. Sa condition est donc assurément modeste, même s'il ne verse pas de pension alimentaire pour son enfant. Ces éléments ont été pris en compte de manière adéquate par le premier juge dans la fixation à 20 fr. du montant du jour-amende. c) Enfin, la quotité de l'amende réprimant la contravention d'utilisation abusive d'une installation de télécommunication (art. 179 septies CP) procède d'une correcte application de l'art. 106 al. 3 CP. La peine privative de liberté de substitution (art. 106 al. 2 CP) est également adéquate.</w:t>
      </w:r>
    </w:p>
    <w:p>
      <w:r>
        <w:rPr>
          <w:b/>
        </w:rPr>
        <w:t>E. 4.3</w:t>
      </w:r>
    </w:p>
    <w:p>
      <w:r>
        <w:t>Les peines échappent ainsi au grief d'arbitraire à tous égards.</w:t>
      </w:r>
    </w:p>
    <w:p>
      <w:r>
        <w:rPr>
          <w:b/>
        </w:rPr>
        <w:t>E. 5</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