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420 vom 5. Oktober 2009</w:t>
      </w:r>
    </w:p>
    <w:p>
      <w:r>
        <w:t>VD Tribunal cantonal, 2009-10-05, FR</w:t>
      </w:r>
    </w:p>
    <w:p>
      <w:r>
        <w:rPr>
          <w:b/>
        </w:rPr>
        <w:t xml:space="preserve">Quelle: </w:t>
      </w:r>
      <w:r>
        <w:t>https://mcp.opencaselaw.ch/entscheid/vd_findinfo_HC___2009___420</w:t>
      </w:r>
    </w:p>
    <w:p>
      <w:r>
        <w:t>FR: VD_FINDINFO HC / 2009 / 420 du 5 octobre 2009</w:t>
      </w:r>
    </w:p>
    <w:p>
      <w:r>
        <w:t>IT: VD_FINDINFO HC / 2009 / 420 del 5 ottobre 2009</w:t>
      </w:r>
    </w:p>
    <w:p>
      <w:pPr>
        <w:pStyle w:val="Heading2"/>
      </w:pPr>
      <w:r>
        <w:t>Regeste</w:t>
      </w:r>
    </w:p>
    <w:p>
      <w:r>
        <w:t>COURTAGE, COMMERCE D'IMMEUBLES, COURTIER, INTERROGATOIRE, TÉMOIN | 412 CO, 413 CO, 414 CO, 339 al. 2 CPC, 339a al. 3 CPC, 452 al. 1 CPC, 452 al. 2 CPC, 456a CPC, 470 al. 1 CPC</w:t>
      </w:r>
    </w:p>
    <w:p>
      <w:pPr>
        <w:pStyle w:val="Heading2"/>
      </w:pPr>
      <w:r>
        <w:t>Erwägungen</w:t>
      </w:r>
    </w:p>
    <w:p>
      <w:r>
        <w:rPr>
          <w:b/>
        </w:rPr>
        <w:t>E. 1</w:t>
      </w:r>
    </w:p>
    <w:p>
      <w:r>
        <w:t>Les art. 444, 445 et 451 ch. 3 CPC (Code de procédure civile du 14 décembre 1966 ; RSV 270.11) ouvrent la voie des recours en nullité et en réforme contre un jugement principal rendu par un président de tribunal d'arrondissement ayant statué en procédure accélérée. Interjeté en temps utile, le recours tend à la réforme, subsidiairement à la nullité du jugement.</w:t>
      </w:r>
    </w:p>
    <w:p>
      <w:r>
        <w:rPr>
          <w:b/>
        </w:rPr>
        <w:t>E. 2</w:t>
      </w:r>
    </w:p>
    <w:p>
      <w:r>
        <w:t>En règle générale, la Chambre des recours se détermine en premier lieu sur les moyens de nullité (art. 470 al. 1 er CPC) expressément invoqués (Poudret/Haldy/Tappy, Procédure civile vaudoise, 3e éd., Lausanne 2002, n. 2 ad art. 465 CPC, p. 722). En l'espèce, les recourants concluent à la nullité du jugement "au cas où les faits de la cause ne devaient pas être suffisants pour permettre à la Chambre des recours de réformer le jugement attaqué" (cf.mém., p. 8). Dans le cadre du recours en réforme, la Chambre des recours dispose d'un pouvoir d'examen qui lui permet de corriger une éventuelle insuffisance de l'état de fait (art. 452 al. 2 CPC). Fondé sur ce seul moyen, le recours en nullité est par conséquent irrecevable. Il convient d'examiner le recours en réforme.</w:t>
      </w:r>
    </w:p>
    <w:p>
      <w:r>
        <w:rPr>
          <w:b/>
        </w:rPr>
        <w:t>E. 3</w:t>
      </w:r>
    </w:p>
    <w:p>
      <w:r>
        <w:t>Selon l'art. 452 al. 1 CPC, les parties ne peuvent prendre des conclusions nouvelles ou plus amples que celles prises en première instance. En l'espèce, les conclusions des recourants sont implicitement les mêmes que celles qu'ils ont prises en première instance (cf. jgt, p. 16, al. 2). Ces conclusions sont donc recevables au sens de la disposition citée.</w:t>
      </w:r>
    </w:p>
    <w:p>
      <w:r>
        <w:rPr>
          <w:b/>
        </w:rPr>
        <w:t>E. 4</w:t>
      </w:r>
    </w:p>
    <w:p>
      <w:r>
        <w:t>Dans le cadre d'un recours en réforme interjeté contre un jugement principal rendu par un président d'un tribunal d'arrondissement,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ter CPC). Le Tribunal cantonal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 si les mesures à prendre sont plus importantes, quantitativement ou qualitativement, le Tribunal cantonal annulera d'office le jugement (JT 2003 III 3). En l'espèce, l'état de fait du jugement est complet et conforme aux preuves administrées. Il permet à la cour de céans de statuer à nouveau en réforme, sans qu'il soit procédé, comme on le verra ci-dessous, à une instruction complémentaire.</w:t>
      </w:r>
    </w:p>
    <w:p>
      <w:r>
        <w:rPr>
          <w:b/>
        </w:rPr>
        <w:t>E. 5</w:t>
      </w:r>
    </w:p>
    <w:p>
      <w:r>
        <w:t>Les recourants reprochent au premier juge de ne pas avoir précisé le type de contrat de courtage qu'ils ont conclu avec l'intimée, prétendant lui être liés par un contrat de négociation. Les parties sont effectivement liées par un tel contrat ; toutefois, ce point n'est pas déterminant pour le sort de la cause de sorte qu'il n'y a pas lieu de le développer ici.</w:t>
      </w:r>
    </w:p>
    <w:p>
      <w:r>
        <w:rPr>
          <w:b/>
        </w:rPr>
        <w:t>E. 6</w:t>
      </w:r>
    </w:p>
    <w:p>
      <w:r>
        <w:t>Les recourants se demandent aussi "si le courtier négociateur peut (…) encore intervenir lorsque le mandant connaissait déjà l'amateur approché par le courtier ou avait déjà entamé une négociation avec lui ?" (cf. mém., p. 5, al. 2). Ils estiment que le courtier n'a droit à une rémunération que s'il peut encore exercer une influence décisive sur la volonté du mandant de conclure et que tel n'a pas été le cas en l'espèce. Ils soutiennent qu'il faudrait procéder à l'audition des acheteurs A.G.________ de manière à établir les circonstances dans lesquelles ceux-ci ont été présentés à l'intimée, le jugement étant lacunaire sur ce point (art. 456a al. 1 CPC). Quant à l'audition requise, les recourants n'ont pas déposé de réponse, en première instance, contenant des allégués et des offres de preuves (par exemple, l'audition des époux A.G.________) portant sur le point discuté (art. 336a et 270 CPC). Ils n'ont pas non plus sollicité l'audition en cause en application de l'art. 339 al. 2 CPC. Se prévalant en particulier de l'art. 339a al. 3 CPC, ils prétendent qu'en vertu de la maxime inquisitoriale, le président aurait dû d'office assigner et entendre les époux A.G.________. Si la maxime inquisitoriale de l'art. 339a al. 3 CPC est bien comparable à la maxime inquisitoriale sociale des art. 274d al. 3 et 343 al. 4 CO, elle n'a toutefois pas pour but de protéger la partie réputée économiquement plus faible ; elle tend seulement à l'instruction de tous les faits pertinents, même non allégués, que les parties ont indiqués au président lors de l'audience préliminaire (Muller, Le rôle respectif du juge et des parties dans l'établissement des faits selon la nouvelle procédure accélérée vaudoise, in JT 2002 III 110 ss; en particulier pp. 115 et 126 ; CREC I n° 87 du 2 mars 2005). En l'espèce, on ignore si les recourants ont indiqué au président, notamment lors de l'audience préliminaire, les motifs pour lesquels ils s'opposaient à la prétention de l'intimée et, en particulier, le contenu des rapports qu'ils avaient eus avec les époux A.G.________ ainsi que les circonstances dans lesquelles ils leur avaient indiqué que leur maison était à vendre. Dans ces conditions, le président n'avait pas à ordonner d'office l'audition des époux A.G.________. Quant à procéder à l'audition requise en deuxième instance, l'instruction complémentaire de l'art. 456a al. 2 CPC n'a pas pour but de remédier aux manquements des parties en première instance. Enfin et surtout, quant aux rapports entre celles-ci et les époux A.G.________, l'état de fait du jugement est suffisant pour statuer sur le recours. Il n'y a donc pas lieu de procéder à l'audition des époux prénommés. Ceci étant, il n'est toutefois pas contesté que ce sont les recourants qui ont indiqué aux époux A.G.________ que leur maison était à vendre, ainsi que l'atteste la lettre que la demanderesse a adressée aux défendeurs le 24 avril 2008 (cf. jgt, p. 13; lettre du 24 avril 2008, al. 5). Par ailleurs, il est vrai également que, selon l'état de fait du jugement, L.________, mandaté par l'intimée, a eu "un rendez-vous avec les époux A.G.________, compatriotes et connaissances des défendeurs [recourants], pour conclure la vente à 700'000.-", déjà le 31 mars 2008, qu'il a établi une note à ce sujet (cf. pièce 8) et qu'il a fait des photocopies des passeports et des permis C du couple en question (cf. pièces 9 et 10 ; jgt, p. 12, al. 2). A propos de l'influence décisive que le courtier peut exercer sur la volonté de l'acheteur de conclure, Marquis, dans son ouvrage "Le contrat de courtage immobilier et le salaire du courtier" (thèse Lausanne 1993, p. 443), déclare en particulier ce qui suit : "Le motif ou la raison que le courtier a réussi à susciter chez l'amateur ne peut être quelconque, mais il doit revêtir une certaine importance dans le processus de décision de celui-ci. Pour que l'exigence de lien de causalité soit réalisée, il faut que le courtier ait provoqué au moins l'un des motifs déterminants qui ont poussé le tiers à conclure. Il n'est pas nécessaire pour le courtier de prouver que sans son intervention le tiers n'eût pas conclu le contrat. En effet, il ne s'agit ni d'une causalité naturelle, ni d'une causalité adéquate. Si la pratique s'est contentée de l'exigence d'un lien psychologique, c'est précisément qu'une causalité plus étroite aurait la plupart du temps été impossible à prouver. Si le courtier prétend avoir influencé la volonté du mandant de manière importante, alors qu'en fait il n'a provoqué qu'un motif subalterne, le lien psychologique n'est pas réalisé. Intégrés dans un processus psychologique complexe, il est difficile de dire quels éléments ont pu être déterminants dans une prise de décision. Il n'est pas possible de juger cette question de manière objective ; au contraire, il faut tenter de déceler quelle valeur le tiers a attaché à certains actes effectués par le courtier. En cas d'activité positive, l'information apportée par le courtier doit éveiller une volonté chez le tiers qui agisse comme un motif de la décision de conclure le contrat principal. D'une manière générale, l'information apportée sur les éléments accessoires et annexes de l'affaire ne seront pas de nature à produire cet effet. Ce principe ne doit cependant pas être appliqué de manière trop stricte puisque le jugement de l'influence exercée par le courtier sur la volonté du tiers est de nature subjective." L'auteur précise encore ce qui suit : "Le courtier négociateur peut-il encore intervenir lorsque le mandant connaissait déjà l'amateur approché par le courtier ou avait déjà entamé une négociation avec lui ? Une activité du courtier est possible dans la mesure où le tiers n'était pas encore totalement décidé. En d'autres termes, il suffit que le courtier puisse encore exercer une influence décisive sur la volonté du tiers de conclure, pour qu'une activité de négociation soit possible" (op. cit., p. 444). En l'occurrence, comme le premier juge l'a constaté, l'activité que l'intimée a déployée par l'intermédiaire de L.________, avant la résiliation du contrat le 13 mai 2008, pour mener à terme la vente de la maison des recourants, a bien déterminé les époux A.G.________ à conclure la vente. Les considérants que le premier juge a développés à ce propos, adéquats et pertinents (cf. jgt, pp. 17 et 18, let. b), peuvent être confirmés par adoption de motifs (art. 471 al. 3 CPC). En particulier, outre que les époux A.G.________ se sont rendus chez l'intimée et ont eu un entretien avec L.________, le 31 mars 2008, pour conclure la vente à 700'000 francs, la secrétaire de l'intimée a déclaré que des copies des passeports et permis C des époux A.G.________ avaient été faites ce jour-là, opération qui indiquait qu'ils étaient intéressés à la vente (cf. jgt, p. 18, al. 1) et qu'ils étaient même sur le point de la conclure (cf. jgt, p. 18 al. 1 in fine). Par ailleurs, si les recourants ont donné aux époux A.G.________ le nom de leur courtier, c'était bien dans l'idée qu'ils discutent et négocient avec lui, en sa qualité de courtier, les termes de la vente proposée. Ces éléments suffisent pour admettre que, par l'activité qu'il a déployée, L.________ a établi avec les acheteurs prénommés un "lien psychologique" qui les a déterminés à conclure.</w:t>
      </w:r>
    </w:p>
    <w:p>
      <w:r>
        <w:rPr>
          <w:b/>
        </w:rPr>
        <w:t>E. 7</w:t>
      </w:r>
    </w:p>
    <w:p>
      <w:r>
        <w:t>A l'appui de leur thèse, les recourants font encore valoir que la clause d'exclusivité du contrat de courtage a pris fin avant que l'intimée n'entame des négociations avec les époux A.G.________ (cf. mém., pp. 6 et 7). Cela est vrai et le jugement fait état de cette circonstance (cf. jgt, p. 17, al. 5). Toutefois, le contrat de courtage lui-même n'a pris fin que postérieurement au 6 mai 2008 (cf. jgt, p. 17 en bas). A cette date, l'intimée, par L.________, avait déjà pris contact avec les époux A.G.________ (au mois de mars 2008) ; en outre, les époux A.G.________ et les recourants avaient pris contact avec le notaire pour instrumenter la vente, au mois d'avril 2008 (cf. jgt, p. 14, al. 3). Par conséquent, c'est en vain que les recourants tentent de démontrer que l'action exercée par le représentant de l'intimée sur la volonté de conclure des époux A.G.________ n'aurait pas déterminé ceux-ci à acheter leur maison.</w:t>
      </w:r>
    </w:p>
    <w:p>
      <w:r>
        <w:rPr>
          <w:b/>
        </w:rPr>
        <w:t>E. 8</w:t>
      </w:r>
    </w:p>
    <w:p>
      <w:r>
        <w:t>Il s'ensuit que le recours doit être rejeté en application de l'art. 465 al. 1 CPC et que le jugement doit être confirmé. Les frais de deuxième instance des recourants sont arrêtés à 550 francs (art. 232 al. 1 TFJC [tarif des frais judiciaires en matière civile du 4 décembre 1984 ; RSV 270.11.5]), solidairement entre eux. Par ces motifs, la Chambre des recours du Tribunal cantonal, statuant à huis clos, en application de l'art. 465 al. 1 CPC, prononce : I. Le recours est rejeté. II. Le jugement est confirmé. III. Les frais de deuxième instance des recourants A.O.________ et B.O.________ sont arrêtés à 550 fr. (cinq cent cinquante francs), solidairement entre eux. IV. L'arrêt motivé est exécutoire. L e président : L a greffi ère : Du 5 octobre 2009 Le dispositif de l'arrêt qui précède est communiqué par écrit aux intéressés. L a greffi ère : Du L'arrêt qui précède, dont la rédaction a été approuvée à huis clos, est notifié en expédition complète, par l'envoi de photocopies, à : ‑      Me Anne-Florence Cornaz (pour A.O.________ et B.O.________), ‑      Me Philippe Nordmann (pour P.________ Sàrl). La Chambre des recours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