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419 vom 23. September 2009</w:t>
      </w:r>
    </w:p>
    <w:p>
      <w:r>
        <w:t>VD Tribunal cantonal, 2009-09-23, FR</w:t>
      </w:r>
    </w:p>
    <w:p>
      <w:r>
        <w:rPr>
          <w:b/>
        </w:rPr>
        <w:t xml:space="preserve">Quelle: </w:t>
      </w:r>
      <w:r>
        <w:t>https://mcp.opencaselaw.ch/entscheid/vd_findinfo_HC___2009___419</w:t>
      </w:r>
    </w:p>
    <w:p>
      <w:r>
        <w:t>FR: VD_FINDINFO HC / 2009 / 419 du 23 septembre 2009</w:t>
      </w:r>
    </w:p>
    <w:p>
      <w:r>
        <w:t>IT: VD_FINDINFO HC / 2009 / 419 del 23 settembre 2009</w:t>
      </w:r>
    </w:p>
    <w:p>
      <w:pPr>
        <w:pStyle w:val="Heading2"/>
      </w:pPr>
      <w:r>
        <w:t>Regeste</w:t>
      </w:r>
    </w:p>
    <w:p>
      <w:r>
        <w:t>DÉPENS | 163 CPP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w:t>
      </w:r>
    </w:p>
    <w:p>
      <w:r>
        <w:rPr>
          <w:b/>
        </w:rPr>
        <w:t>E. 2</w:t>
      </w:r>
    </w:p>
    <w:p>
      <w:r>
        <w:t>Le recourant considère que le montant des dépens alloués à E.________ est trop élevé. b) Aux termes de l'art. 163 CPP,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La fixation des dépens dus à la partie civile relève du pouvoir d'appréciation du premier juge, la Cour de cassation n'intervenant dans ce domaine qu'en cas de fausse application manifeste de la loi ou d'abus du pouvoir d'appréciation (Cass., 14 septembre 2009, n° 378). c) En l'espèce, n'ayant pas d'éléments suffisants pour évaluer les pertes de gains et déplacements du client, le premier juge a limité le montant des dépens à la seule couverture des honoraires et débours du conseil dès son intervention. La première intervention du conseil d'E.________, Me Lavrov, remonte au 11 octobre 2007. Il s'agit d'un recours au Tribunal d'accusation visant à un complément d'instruction ensuite d'un non-lieu [pce 17]. Le recours fait huit pages et a dû être précédé d'une étude du dossier. Or, les faits ne sont pas simples. S'ensuivent diverses correspondances [pces 24, 26, 29 et 31], puis un mémoire d'intimé de six pages au Tribunal d'accusation [pce 38], la préparation de l'audience et enfin l'audience même, qui a duré un peu plus d'une heure. A cela s'ajoutent des conférences avec le client et la lecture de la volumineuse correspondance du premier conseil d'A.________, Me [...]. Au vu de ces opérations, le montant de 4'500 fr., certes assez généreux, n'est pas arbitraire. Partant, il y a lieu de le confirmer.</w:t>
      </w:r>
    </w:p>
    <w:p>
      <w:r>
        <w:rPr>
          <w:b/>
        </w:rPr>
        <w:t>E. 3</w:t>
      </w:r>
    </w:p>
    <w:p>
      <w:r>
        <w:t>En conclusion, le recours d'A.________ doit être rejeté. Les frais de deuxième instance sont mis à la charge du recourant, qui succombe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