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410 vom 13. November 2009</w:t>
      </w:r>
    </w:p>
    <w:p>
      <w:r>
        <w:t>VD Tribunal cantonal, 2009-11-13, FR</w:t>
      </w:r>
    </w:p>
    <w:p>
      <w:r>
        <w:rPr>
          <w:b/>
        </w:rPr>
        <w:t xml:space="preserve">Quelle: </w:t>
      </w:r>
      <w:r>
        <w:t>https://mcp.opencaselaw.ch/entscheid/vd_findinfo_HC___2009___410</w:t>
      </w:r>
    </w:p>
    <w:p>
      <w:r>
        <w:t>FR: VD_FINDINFO HC / 2009 / 410 du 13 novembre 2009</w:t>
      </w:r>
    </w:p>
    <w:p>
      <w:r>
        <w:t>IT: VD_FINDINFO HC / 2009 / 410 del 13 novembre 2009</w:t>
      </w:r>
    </w:p>
    <w:p>
      <w:pPr>
        <w:pStyle w:val="Heading2"/>
      </w:pPr>
      <w:r>
        <w:t>Regeste</w:t>
      </w:r>
    </w:p>
    <w:p>
      <w:r>
        <w:t>CONVERSION DE L'AMENDE, AMENDE | 106 CP, 36 al. 3 CP, 485m CPP, 27 LEP</w:t>
      </w:r>
    </w:p>
    <w:p>
      <w:pPr>
        <w:pStyle w:val="Heading2"/>
      </w:pPr>
      <w:r>
        <w:t>Erwägungen</w:t>
      </w:r>
    </w:p>
    <w:p>
      <w:r>
        <w:rPr>
          <w:b/>
        </w:rPr>
        <w:t>E. 1</w:t>
      </w:r>
    </w:p>
    <w:p>
      <w:r>
        <w:t>Selon les art. 106 al. 5 CP (Code pénal du 21 décembre 1937; RS 311.0), 36 al. 2 CP et 27 al. 1 LEP (loi sur l'exécution des condamnations pénales du 4 juillet 2006; RSV 340.01), le Juge d'application des peines est compétent pour statuer sur la conversion en une peine privative de liberté, d'une amende ou d'une peine pécuniaire lorsqu'elle est restée impayée et qu'elle est inexécutable par la voie de la poursuite pour dettes.</w:t>
      </w:r>
    </w:p>
    <w:p>
      <w:r>
        <w:rPr>
          <w:b/>
        </w:rPr>
        <w:t>E. 2</w:t>
      </w:r>
    </w:p>
    <w:p>
      <w:r>
        <w:t>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 Vu le pouvoir d'examen très large dont dispose la Cour de cassation pénale du Tribunal cantonal en vertu des art. 485m et ss CPP, et en particulier de l'art. 485s CPP, la nouvelle pièce versée au dossier par le Juge d'application des peines est recevable. Un délai a été imparti à la recourante pour se déterminer à ce propos.</w:t>
      </w:r>
    </w:p>
    <w:p>
      <w:r>
        <w:rPr>
          <w:b/>
        </w:rPr>
        <w:t>E. 3</w:t>
      </w:r>
    </w:p>
    <w:p>
      <w:r>
        <w:t>Selon l'art. 27 LEP, le juge d'application des peines est compétent pour statuer sur la peine privative de liberté de substitution lorsque l'amende ou la peine pécuniaire est restée impayée et qu'elle est inexécutable par la voie de la poursuite pour dettes (al. 1). Il lui appartient de déterminer si le défaut de paiement de l'amende ou de la peine pécuniaire est ou non consécutif à une faute du condamné, et de faire usage, dans l'hypothèse où cette absence de paiement n'est pas imputable à ce dernier, des facultés que lui confère l'art. 36 al. 3 CP (al. 3). Pour ce qui est, en particulier, de la conversion des amendes infligées par une autorité administrative, l'art. 106 al. 5 CP renvoie par analogie à l'art. 36 al. 2 CP, qui dispose que, si la peine pécuniaire est prononcée par une autorité administrative, un juge doit statuer sur la peine privative de liberté de substitution.</w:t>
      </w:r>
    </w:p>
    <w:p>
      <w:r>
        <w:rPr>
          <w:b/>
        </w:rPr>
        <w:t>E. 4</w:t>
      </w:r>
    </w:p>
    <w:p>
      <w:r>
        <w:t>En l'espèce, il résulte de l'extrait des poursuites délivré le 22 octobre 2009 par l'Office des poursuites de l'arrondissement de Morges-Aubonne, versé au dossier, que la recourante fait l'objet de poursuites en cours à hauteur de 12'550 fr. 85 et que des actes de défaut de biens pour 46'342 fr. 90 ont été délivrés contre elle. Il est en outre constant que l'intéressée émarge aux services sociaux. Les amendes infligées à la condamnée doivent donc être tenues pour inexécutables par voie de poursuite pour dettes. La condition posée par l'art. 27 al. 1 LEP est dès lors remplie. Sous l'angle de l'art. 27 al. 3 LEP, il ressort de l'extrait des poursuites que la situation financière de l'intéressée est très mauvaise depuis longtemps. En particulier, les nombreux actes de défaut de biens délivrés à son encontre dans les cinq ans précédant l'extrait établissent que sa situation était déjà fortement obérée avant le prononcé des amendes dont il est question en l'espèce. Dans ces circonstances, on ne saurait considérer qu'il y a eu, depuis la notification des prononcés en cause, détérioration notable de la situation financière de la condamnée au sens de l'art. 36 al. 3 CP. Peu importe à cet égard que la recourante émarge actuellement au revenu d'insertion au lieu de vivre du produit de son travail, sa situation financière n'ayant de toute façon guère évolué depuis le moment de la fixation des amendes. Au surplus, sa situation familiale particulière, à savoir la violation alléguée de son obligation d'entretien par un débiteur d'aliments, ne justifie pas qu'il soit renoncé à une conversion. C'est donc à juste titre que le Juge d'application des peines a converti les amendes en une peine privative de liberté. La recourante pourra requérir de l'Office d'exécution des peines qu'il soit tenu compte de sa situation familiale. On rappellera enfin que la recourante aura toujours la possibilité de s'acquitter du montant des amendes pour éviter l'exécution de la peine privative de liberté.</w:t>
      </w:r>
    </w:p>
    <w:p>
      <w:r>
        <w:rPr>
          <w:b/>
        </w:rPr>
        <w:t>E. 5</w:t>
      </w:r>
    </w:p>
    <w:p>
      <w:r>
        <w:t>En définitive, le recours doit être rejeté et le prononcé confirmé. Vu l'issue de recours, les frais de deuxième instance sont mis à la charge de la recourante, conformément à l'art.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