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2009 / 41 vom 14. Mai 2008</w:t>
      </w:r>
    </w:p>
    <w:p>
      <w:r>
        <w:t>VD Tribunal cantonal, 2008-05-14, FR</w:t>
      </w:r>
    </w:p>
    <w:p>
      <w:r>
        <w:rPr>
          <w:b/>
        </w:rPr>
        <w:t xml:space="preserve">Quelle: </w:t>
      </w:r>
      <w:r>
        <w:t>https://mcp.opencaselaw.ch/entscheid/vd_findinfo_HC___2009___41</w:t>
      </w:r>
    </w:p>
    <w:p>
      <w:r>
        <w:t>FR: VD_FINDINFO HC / 2009 / 41 du 14 mai 2008</w:t>
      </w:r>
    </w:p>
    <w:p>
      <w:r>
        <w:t>IT: VD_FINDINFO HC / 2009 / 41 del 14 maggio 2008</w:t>
      </w:r>
    </w:p>
    <w:p>
      <w:pPr>
        <w:pStyle w:val="Heading2"/>
      </w:pPr>
      <w:r>
        <w:t>Regeste</w:t>
      </w:r>
    </w:p>
    <w:p>
      <w:r>
        <w:t>CONCLUSIONS | 425 al. 2 let. b CPP, 425 al. 2 let. c CPP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En définitive, le recours doit être rejeté dans la mesure où il est recevable et le prononcé confirmé. Vu l'issue de recours, les frais de deuxième instance sont mis à la charge du recourant, conformément à l'art. 485v CPP.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