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409 vom 15. Oktober 2009</w:t>
      </w:r>
    </w:p>
    <w:p>
      <w:r>
        <w:t>VD Tribunal cantonal, 2009-10-15, FR</w:t>
      </w:r>
    </w:p>
    <w:p>
      <w:r>
        <w:rPr>
          <w:b/>
        </w:rPr>
        <w:t xml:space="preserve">Quelle: </w:t>
      </w:r>
      <w:r>
        <w:t>https://mcp.opencaselaw.ch/entscheid/vd_findinfo_HC___2009___409</w:t>
      </w:r>
    </w:p>
    <w:p>
      <w:r>
        <w:t>FR: VD_FINDINFO HC / 2009 / 409 du 15 octobre 2009</w:t>
      </w:r>
    </w:p>
    <w:p>
      <w:r>
        <w:t>IT: VD_FINDINFO HC / 2009 / 409 del 15 ottobre 2009</w:t>
      </w:r>
    </w:p>
    <w:p>
      <w:pPr>
        <w:pStyle w:val="Heading2"/>
      </w:pPr>
      <w:r>
        <w:t>Regeste</w:t>
      </w:r>
    </w:p>
    <w:p>
      <w:r>
        <w:t>LÉGITIMATION ACTIVE ET PASSIVE, TORT MORAL, MANDAT, GESTION D'AFFAIRES, CAUSALITÉ ADÉQUATE, LIEN DE CAUSALITÉ, RUPTURE DU LIEN DE CAUSALITÉ | 422 CO, 47 CO, 465 al. 1 CPC</w:t>
      </w:r>
    </w:p>
    <w:p>
      <w:pPr>
        <w:pStyle w:val="Heading2"/>
      </w:pPr>
      <w:r>
        <w:t>Erwägungen</w:t>
      </w:r>
    </w:p>
    <w:p>
      <w:r>
        <w:rPr>
          <w:b/>
        </w:rPr>
        <w:t>E. 1</w:t>
      </w:r>
    </w:p>
    <w:p>
      <w:r>
        <w:t>Les articles 444, 445 et 451 ch. 3 CPC (Code de procédure civile du 14 décembre 1966; RSV 270.11) ouvrent la voie des recours en nullité et en réforme contre les jugements principaux rendus par un président de tribunal d'arrondissement. Au titre de moyen de nullité, la recourante fait valoir que le jugement ne comprend pas divers éléments de fait, ainsi le motif pour lequel l'intimée a perdu la maîtrise du fauteuil roulant, la dangerosité du tapis roulant sur lequel elle s'est engagée et les modalités d'une inspection locale à effectuer au préalable. Elle soutient qu'en passant sous silence certaines circonstances de fait essentielles pour l'appréciation de la cause, le premier juge aurait outrepassé son droit à la libre appréciation des preuves, violant en cela l'article 5 al. 3 CPC. Compte tenu du large pouvoir d'appréciation en fait de la Chambre des recours (cf. ci-dessous c. 2 lit a), les critiques de la recourante relatives à l'établissement des faits pourront être examinées dans le cadre du recours en réforme. Elles sont en conséquence irrecevables dans le cadre d'un recours en nullité, cette voie de droit étant subsidiaire au recours en réforme (Poudret/Haldy/Tappy, Procédure civile vaudoise,</w:t>
      </w:r>
    </w:p>
    <w:p>
      <w:r>
        <w:rPr>
          <w:b/>
        </w:rPr>
        <w:t>E. 3</w:t>
      </w:r>
    </w:p>
    <w:p>
      <w:r>
        <w:t>En conclusion, le recours doit être rejeté en application de l'article 465 al. 1 CPC et le jugement maintenu. Les frais de deuxième instance de la recourante sont arrêtés à 400 fr. (art. 232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de la recourante P.________ sont arrêtés à 400 fr. (quatre cents francs) IV. L'arrêt motivé est exécutoire L e président : L a greffi ère : Du 15 octobre 2009 Le dispositif de l'arrêt qui précède est communiqué par écrit aux intéressés. L a greffi ère : Du L'arrêt qui précède, dont la rédaction a été approuvée à huis clos, est notifié en expédition complète, par l'envoi de photocopies, à : ‑      Me Jacques Michod, pour P.________ , ‑      Me Jean-Pierre Bloch, pour A.________. La Chambre des recours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