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403 vom 15. Oktober 2009</w:t>
      </w:r>
    </w:p>
    <w:p>
      <w:r>
        <w:t>VD Tribunal cantonal, 2009-10-15, FR</w:t>
      </w:r>
    </w:p>
    <w:p>
      <w:r>
        <w:rPr>
          <w:b/>
        </w:rPr>
        <w:t xml:space="preserve">Quelle: </w:t>
      </w:r>
      <w:r>
        <w:t>https://mcp.opencaselaw.ch/entscheid/vd_findinfo_HC___2009___403</w:t>
      </w:r>
    </w:p>
    <w:p>
      <w:r>
        <w:t>FR: VD_FINDINFO HC / 2009 / 403 du 15 octobre 2009</w:t>
      </w:r>
    </w:p>
    <w:p>
      <w:r>
        <w:t>IT: VD_FINDINFO HC / 2009 / 403 del 15 ottobre 2009</w:t>
      </w:r>
    </w:p>
    <w:p>
      <w:pPr>
        <w:pStyle w:val="Heading2"/>
      </w:pPr>
      <w:r>
        <w:t>Regeste</w:t>
      </w:r>
    </w:p>
    <w:p>
      <w:r>
        <w:t>DIVORCE, OBLIGATION D'ENTRETIEN, FAITS NOUVEAUX | 138 al. 1 CC, 285 CC, 374c CPC, 451 ch. 2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En l'espèce, le recours d'V.________, déposé à temps, est formellement recevable. Il tend principalement à la réforme du jugement attaqué et subsidiairement à son annulation. Le recours joint de A.R.________, déposé dans le délai de mémoire responsif, est lui aussi recevable en la forme; il tend exclusivement à la réforme.</w:t>
      </w:r>
    </w:p>
    <w:p>
      <w:r>
        <w:rPr>
          <w:b/>
        </w:rPr>
        <w:t>E. 2</w:t>
      </w:r>
    </w:p>
    <w:p>
      <w:r>
        <w:t>La recourante conclut subsidiairement à l'annulation et invoque le grief d'appréciation arbitraire des preuves. Ce moyen est toutefois irrecevable en nullité, compte tenu du caractère subsidiaire de ce recours (Poudret/Haldy/Tappy, Procédure civile vaudoise, Lausanne 2002,</w:t>
      </w:r>
    </w:p>
    <w:p>
      <w:r>
        <w:rPr>
          <w:b/>
        </w:rPr>
        <w:t>E. 3</w:t>
      </w:r>
    </w:p>
    <w:p>
      <w:r>
        <w:t>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op. cit., n. 3 ad art. 455 CPC, p. 654), le juge doit d'office, même en deuxième instance, statuer sur ces questions, sans être limité par les moyens et conclusions des parties, et ordonner toutes preuves utiles à l'établissement d'un état de fait suffisant (ATF 128 III 411 c. 3.2.1; ATF 122 III 404 précité; ATF120 II 229 précité; Werro, Concubinage, mariage et démariage, 2000, n° 736, p. 160, et n° 875, p. 189; Sutter/Freiburghaus, Kommentar zum neuen Scheidungsrecht, 1999, n. 10 et 11 ad art. 145 CC, pp. 568-569; Poudret/Haldy/Tappy, op. cit., n. 1 ad art. 3 CPC, p. 13). Les conclusions relatives au sort des enfants ne sont que des propositions. Le juge statue même en l'absence de conclusions (ATF 119 II 201, JT 1996 I 202, c. 1; ATF 118 II 93, JT 1995 I 100, c. 1a). En définitive, la Chambre des recours doit examiner d'office quelle est la solution qui paraît la plus conforme aux intérêts de l'enfant.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(CREC II, 5 février 2002/367; JT 1984 III 19; Poudret/Haldy/Tappy, op. cit., n. 3 ad art. 455 CPC, p. 699). Il est d'ailleurs tenu d'admettre les nova et, partant, de prendre en considération les nouveaux faits pertinents intervenus jusqu'à la décision au fond ( TF 5P.319/2002 du 25 novembre 2002 c. 2.1; TF 5P.123/1995, reproduit in SJ 1996, p. 118). Bien qu'elle ait été instaurée principalement dans l'intérêt de l'enfant, la maxime inquisitoire doit profiter également au débiteur de l'entretien. Lorsque le recours porte sur la contribution de l'enfant et celle du conjoint, la maxime d'office a pour conséquence que l'une et l'autre des rentes doivent être calculées et fixées à nouveau. Ces contributions forment en effet un ensemble dont les éléments individuels ne peuvent être fixés de manière indépendante les unes des autres du point de vue de la capacité contributive. La maxime inquisitoire s'applique aussi en deuxième instance (ATF 131 III 91, SJ 2005 I 199, JT 2004 I 444; ATF 128 III 411, JT 2003 I 66). b) En l'espèce, l'état de fait du jugement attaqué est conforme aux pièces du dossier. Le recourant par voie de jonction fait toutefois valoir que des faits importants sont survenus postérieurement aux débats de première instance, à savoir qu'il a été licencié et qu'il a commencé une activité en qualité d'indépendant. Le recourant a déposé un bordereau de pièces nouvelles à l'appui de son recours joint. S'agissant de faits qui touchent à la capacité contributive du débirentier, de tels faits sont pertinents et ils doivent être admis dans la mesure où ils sont établis. L'état de fait du jugement attaqué doit dès lors être complété, sur la base des pièces produites par le recourant par voie de jonction, par les éléments suivants: - Par courrier du 29 décembre 2008, l'employeur de A.R.________ a mis fin à son engagement avec effet au 28 février 2009. - A.R.________ a été inscrit au Registre du commerce du canton de Vaud le 16 février 2009 comme titulaire de l'entreprise individuelle [...],A.R.________. - A.R.________ a contracté pour son entreprise individuelle une assurance de personnel ainsi qu'une assurance responsabilité civile auprès de la Winterthur assurances. - Selon un contrat de vente pour véhicule d'occasion du 26 mai 2009, l'ancien employeur de A.R.________ lui a vendu un véhicule pour le prix de 11'000 fr., payable sur cinq ans, par mensualités, selon les disponibilités de l'acheteur. Le recourant par voie de jonction a également produit un décompte selon lequel le chiffre d'affaires d'avril 2009 s'élevait à 125 fr. alors que les factures professionnelles se montaient à 2'660 fr. 90. Le chiffre d'affaires de mai 2009 était de 6'468 fr. 50 pour 2'032 fr. 50 de factures professionnelles et celui de juin 2009 était de 7'770 fr. 60 pour 1'710 fr. 35 de factures professionnelles. Il a en outre produit un document établi le 12 août 2009, par lequel il s'est reconnu débiteur de son amie [...] de la somme de 5'000 fr. plus quatre mois de loyer, par 2'400 francs. Le recourant par voie de jonction invoque, enfin, le fait que ses deux fils encore mineurs ont trouvé chacun une place d'apprentissage "pour la rentrée 2009".</w:t>
      </w:r>
    </w:p>
    <w:p>
      <w:r>
        <w:rPr>
          <w:b/>
        </w:rPr>
        <w:t>E. 4</w:t>
      </w:r>
    </w:p>
    <w:p>
      <w:r>
        <w:t>Tant la recourante principale que le recourant par voie de jonction contestent le montant retenu par le tribunal comme capacité contributive du débirentier et, partant, les contributions d'entretien. a) Selon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Quant à l'obligation d'entretien après divorce, elle repose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129 III 7, FamPra 2003 169; ATF 128 III 257; 127 III 136 c. 2a, rés. JT 2002 I 253), soit notamment les revenus et la fortune des époux (art. 125 al. 2 ch. 5 CC). b) Les premiers juges ont retenu un salaire mensuel net du débirentier de 4'205 francs. Ils ont déterminé la contribution d'entretien due aux enfants en fonction d'un pourcentage de ce revenu net, soit 25 % pour deux enfants mineurs. Ayant considéré que l'épouse serait en mesure d'acquérir son indépendance financière à 100 % au plus tard à fin décembre 2009, ils ont calculé la contribution due jusqu'à ce terme en déduisant du salaire mensuel net du débirentier ses charges incompressibles ainsi que le montant des pensions dues pour les enfants. c) En l'espèce, le recourant par voie de jonction a été licencié au 28 février 2009 par lettre de son employeur du 29 décembre 2008. Il s'est inscrit dès le 16 février 2009 auprès du registre du commerce comme titulaire d'une entreprise individuelle. Le recourant invoque différents frais inhérents à sa nouvelle activité et à son statut d'indépendant. Il fait valoir pour les mois d'avril, mai et juin 2009 des chiffres d'affaires respectivement de 125 fr., 6'468 fr. 50 et 7'770 fr. 60 et des frais professionnels de 2'660 fr. 90, 2'032 fr. 50 et 1'710 fr. 35. Il soutient en outre être débiteur de son ancien employeur pour l'achat d'un véhicule, ainsi que de son amie. En l'état, la situation de fait telle qu'établie par le jugement de première instance ne correspond plus à la réalité, puisque le débirentier n'est plus salarié. La cour de céans ne dispose toutefois pas des éléments nécessaires pour déterminer la quotité disponible du recourant et statuer sur sa capacité contributive. Il n'est pas possible de déterminer les revenus mensuels du débirentier sur la base des seuls trois premiers mois de la nouvelle activité indépendance. En effet, il s'agit d'un laps de temps trop court pour être représentatif de l'activité d'une entreprise, de ses charges et de son chiffre d'affaire. Il conviendrait de pouvoir examiner les chiffres de l'entreprise après une période d'activité plus importante, afin de pouvoir déterminer les charges de l'entreprise de manière précise, de faire une moyenne du chiffre d'affaires et, partant, des revenus du recourant par voie de jonction. S'agissant de points déterminants pour la fixation des contributions d'entretien dues aux enfants mineurs et à l'épouse, il convient d'annuler d'office les chiffres VII à XI du dispositif. Il appartiendra à l'autorité de première instance de reprendre l'instruction ab ovo sur les questions financières, afin de procéder à une analyse détaillée des revenus et des charges de l'entreprise individuelle du débirentier, sur une période d'environ douze mois. Le salaire d'apprenti des enfants à charge devra également être déterminé.</w:t>
      </w:r>
    </w:p>
    <w:p>
      <w:r>
        <w:rPr>
          <w:b/>
        </w:rPr>
        <w:t>E. 5</w:t>
      </w:r>
    </w:p>
    <w:p>
      <w:r>
        <w:t>En conclusion, les chiffres VII à XI du dispositif du jugement doivent être annulés et la cause renvoyée au Tribunal civil de l'arrondissement de La Côte pour instruction complémentaire et nouvelle décision. Les frais de deuxième instance de la recourante principale et du recourant par voie de jonction sont arrêtés à 300 fr. chacun (art. 233 TFJC, Tarif du 4 décembre 1984 des frais judiciaires en matière civile, RSV 270.11.5). Compte tenu de l'annulation d'office des chiffres du dispositif portant sur les contributions d'entretien, objets des deux recours, on ne saurait considérer que l'une des parties obtient gain de cause. Il convient par conséquent de compenser les dépens de deuxième instance. Par ces motifs, la Chambre des recours du Tribunal cantonal, statuant à huis clos, prononce : I. Les chiffres VII à XI du dispositif du jugement entrepris sont annulés, la cause étant renvoyée au Tribunal civil de l'arrondissement de La Côte pour instruction complémentaire et nouvelle décision. Le jugement est confirmé pour le surplus. II. Les frais de deuxième instance sont arrêtés à 300 fr. (trois cents francs) pour la recourante V.________, et à 300 fr. (trois cents francs) pour le recourant par voie de jonction A.R.________. III. Les dépens de deuxième instance sont compensés. IV. L'arrêt motivé est exécutoire. L e président : L a greffi ère : Du 15 octobre 2009 Le dispositif de l'arrêt qui précède est communiqué par écrit aux intéressés. L a greffi ère : Du L'arrêt qui précède, dont la rédaction a été approuvée à huis clos, est notifié en expédition complète, par l'envoi de photocopies, à : ‑      Me Franck-Olivier Karlen (pour V.________), ‑      Me Olivier Buttet (pour A.R.________).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