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400 vom 18. November 2009</w:t>
      </w:r>
    </w:p>
    <w:p>
      <w:r>
        <w:t>VD Tribunal cantonal, 2009-11-18, FR</w:t>
      </w:r>
    </w:p>
    <w:p>
      <w:r>
        <w:rPr>
          <w:b/>
        </w:rPr>
        <w:t xml:space="preserve">Quelle: </w:t>
      </w:r>
      <w:r>
        <w:t>https://mcp.opencaselaw.ch/entscheid/vd_findinfo_HC___2009___400</w:t>
      </w:r>
    </w:p>
    <w:p>
      <w:r>
        <w:t>FR: VD_FINDINFO HC / 2009 / 400 du 18 novembre 2009</w:t>
      </w:r>
    </w:p>
    <w:p>
      <w:r>
        <w:t>IT: VD_FINDINFO HC / 2009 / 400 del 18 novembre 2009</w:t>
      </w:r>
    </w:p>
    <w:p>
      <w:pPr>
        <w:pStyle w:val="Heading2"/>
      </w:pPr>
      <w:r>
        <w:t>Regeste</w:t>
      </w:r>
    </w:p>
    <w:p>
      <w:r>
        <w:t>POUVOIR D'EXAMEN, CONSTATATION DES FAITS, EXPULSION DE LOCATAIRE, PRINCIPE DE LA CONFIANCE{INTERPRÉTATION DU CONTRAT}, INTERPRÉTATION{SENS GÉNÉRAL}, MAXIME DE DISPOSITION, ULTRA PETITA, LIMITATION AUX CONCLUSIONS DES PARTIES, QUALITÉ POUR RECOURIR | 18 al. 1 CO, 257d CO, 274g CO, 3 CPC, 23 LPEBL, 7 LPEBL</w:t>
      </w:r>
    </w:p>
    <w:p>
      <w:pPr>
        <w:pStyle w:val="Heading2"/>
      </w:pPr>
      <w:r>
        <w:t>Erwägungen</w:t>
      </w:r>
    </w:p>
    <w:p>
      <w:r>
        <w:rPr>
          <w:b/>
        </w:rPr>
        <w:t>E. 1</w:t>
      </w:r>
    </w:p>
    <w:p>
      <w:r>
        <w:t>Selon la jurisprudence, seules les parties à la procédure d'expulsion peuvent recourir contre l'ordonnance en application de l'art. 23 LPEBL (loi du 18 mai 1955 sur la procédure d'expulsion en matière de baux à loyer et à ferme; RSV 221.305), à l'exclusion des tiers qui occupent les locaux loués et auxquels l'ordonnance est opposable (Guignard, in Procédures spéciales vaudoises, 2008, n. 5 ad art. 23 LPEBL, pp. 212-213 et références). En l'espèce, la procédure d'expulsion a été ouverte contre I.________, signataire de l'avenant du 8 novembre 2005 et du bail des 20 juillet et 3 août 2006. Le fait que H.________ occupe les locaux en cause ne lui permet pas, au vu de la jurisprudence susmentionnée, de recourir contre l'ordonnance attaquée, de sorte que son recours doit être écarté, faute de qualité pour agir. Dans la suite de l'arrêt, le terme "la recourante" désignera donc I.________.</w:t>
      </w:r>
    </w:p>
    <w:p>
      <w:r>
        <w:rPr>
          <w:b/>
        </w:rPr>
        <w:t>E. 2</w:t>
      </w:r>
    </w:p>
    <w:p>
      <w:r>
        <w:t>L'art. 23 LPEBL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2009 III 79; JT 2008 III 12; JT 2004 III 79). En l'espèce, la recourante a contesté le congé en cause devant la commission de conciliation. Le recours doit donc être examiné avec le pouvoir d'examen conféré par l'art. 457 CPC et non celui limité au déni de justice prévu à l'art. 23 LPEBL.</w:t>
      </w:r>
    </w:p>
    <w:p>
      <w:r>
        <w:rPr>
          <w:b/>
        </w:rPr>
        <w:t>E. 3</w:t>
      </w:r>
    </w:p>
    <w:p>
      <w:r>
        <w:t>D'un point de vue factuel, la cour de céans dispose d'un pouvoir d'examen défini par l'art. 457 CPC (applicable en vertu de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est conforme aux pièces du dossier. Il a été complété sur la base de celui-ci.</w:t>
      </w:r>
    </w:p>
    <w:p>
      <w:r>
        <w:rPr>
          <w:b/>
        </w:rPr>
        <w:t>E. 4</w:t>
      </w:r>
    </w:p>
    <w:p>
      <w:r>
        <w:t>La recourante fait valoir qu'elle n'a jamais occupé les locaux litigieux et que l'intimée a accepté les paiements effectués par H.________; elle soutient en conséquence qu'elle n'est intervenue dans les contrats en cause que comme garante et non comme titulaire des baux. Elle déduit de ces éléments que la sommation et les congés sont nuls faute d'avoir été communiqués à H.________. a)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références, JT 2007 I 423; ATF 125 III 305 c. 2b et références). Dans le cadre de l'interprétation subjective, le juge s'intéressera en premier lieu aux termes utilisés et/ou aux comportements des parties, les termes utilisés étant pris au sens habituel (moyens primaires d'interprétation; Winiger, Commentaire romand, 2003, n. 25 et 26 ad art. 18 CO, p. 86). Pour préciser la volonté des parties, le juge prendra en compte notamment le comportement de celles-ci aussi bien avant qu'après la conclusion du contrat, leurs déclarations antérieures, les projets de contrat, la correspondance échangée, leurs intérêts respectifs et le but du contrat (moyens complémentaires d'interprétation; Winiger op. cit., n. 32 ss ad art. 18 CO, pp 87 ss). En l'espèce, il ressort clairement du texte de l'avenant du</w:t>
      </w:r>
    </w:p>
    <w:p>
      <w:r>
        <w:rPr>
          <w:b/>
        </w:rPr>
        <w:t>E. 8</w:t>
      </w:r>
    </w:p>
    <w:p>
      <w:r>
        <w:t>En conclusion, le recours doit être rejeté en tant que recevable et l'ordonnance confirmée. Dès lors que la date de libération des locaux est passée en raison de l'effet suspensif accordé au recours, il y a lieu de renvoyer la cause au premier juge afin qu'il fixe à la recourante un nouveau délai pour libérer ceux-ci. Les frais de deuxième instance des recourantes sont arrêtés à 250 fr. (art. 230 TFJC; tarif du 4 décembre 1984 des frais judiciaires en matière civile; RSV 270.11.5). Obtenant gain de cause l'intimée a droit à des dépens de deuxième instance, fixés à 250 fr. (art. 91 et 92 CPC; art. 2 let. A ch. 3, art. 3 et 4 TAg; tarif du 22 février 1972 des honoraires d'agent d'affaires breveté dus à titre de dépens; RSV 179.11.3). Par ces motifs, la Chambre des recours du Tribunal cantonal, statuant à huis clos, prononce : I. Le recours est rejeté en tant qu'il est recevable. II. L'ordonnance est confirmée. III. La cause est renvoyée au Juge de paix des districts de Lausanne et de l'Ouest lausannois pour qu'il fixe à I.________, une fois les considérants du présent arrêt envoyés pour notification aux parties, un nouveau délai pour libérer les locaux qu'elle occupe à Lausanne, [...] (appartement de 3,5 pièces, au rez de chaussée et un garage/box au 1 er sous-sol). IV. Les frais de deuxième instance des recourantes sont arrêtés à 250 fr. (deux cent cinquante francs), solidairement entre elles. V. Les recourantes I.________ et H.________, solidairement entre elles, doivent verser à l'intimée T.________ la somme de 250 fr. (deux cent cinquante francs) à titre de dépens de deuxième instance. VI. L'arrêt motivé est exécutoire. L e président : L e greffi er : Du 18 novembre 2009 Le dispositif de l'arrêt qui précède est communiqué par écrit aux intéressés. L e greffi er : Du L'arrêt qui précède, dont la rédaction a été approuvée à huis clos, est notifié à : ‑      Me Laurent Schuler (pour I.________ et H.________), ‑      M. Therry Zumbach (pour T.________). La Chambre des recours considère que la valeur litigieuse est de 50'076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