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397 vom 7. Juli 2009</w:t>
      </w:r>
    </w:p>
    <w:p>
      <w:r>
        <w:t>VD Tribunal cantonal, 2009-07-07, FR</w:t>
      </w:r>
    </w:p>
    <w:p>
      <w:r>
        <w:rPr>
          <w:b/>
        </w:rPr>
        <w:t xml:space="preserve">Quelle: </w:t>
      </w:r>
      <w:r>
        <w:t>https://mcp.opencaselaw.ch/entscheid/vd_findinfo_HC___2009___397</w:t>
      </w:r>
    </w:p>
    <w:p>
      <w:r>
        <w:t>FR: VD_FINDINFO HC / 2009 / 397 du 7 juillet 2009</w:t>
      </w:r>
    </w:p>
    <w:p>
      <w:r>
        <w:t>IT: VD_FINDINFO HC / 2009 / 397 del 7 luglio 2009</w:t>
      </w:r>
    </w:p>
    <w:p>
      <w:pPr>
        <w:pStyle w:val="Heading2"/>
      </w:pPr>
      <w:r>
        <w:t>Regeste</w:t>
      </w:r>
    </w:p>
    <w:p>
      <w:r>
        <w:t>TORT MORAL, DOMMAGES-INTÉRÊTS | 49 CO, 415 CPP, 81 let. d LJPM</w:t>
      </w:r>
    </w:p>
    <w:p>
      <w:pPr>
        <w:pStyle w:val="Heading2"/>
      </w:pPr>
      <w:r>
        <w:t>Erwägungen</w:t>
      </w:r>
    </w:p>
    <w:p>
      <w:r>
        <w:rPr>
          <w:b/>
        </w:rPr>
        <w:t>E. 1</w:t>
      </w:r>
    </w:p>
    <w:p>
      <w:r>
        <w:t>Le recours déposé par A.U.________, agissant pour elle-même et au nom de sa fille mineure, tend exclusivement à la réforme du jugement entrepris. Selon l'art. 81 al. 1 let. d LJPM ( Loi sur la juridiction pénale des mineurs du 31 octobre 2006, RSV 312.05 ), le droit de recours en réforme appartient à la partie civile seulement en ce qui concerne les conclusions civiles ou sa condamnation à des frais ou à des dépens. Ainsi, la partie civile qui a pris des conclusions chiffrées et qui a seulement obtenu acte de ses réserves contre l'accusé peut recourir en réforme et conclure à l'adjudication de ses conclusions civiles, autant que l'état de fait du jugement et les pièces du dossier permettent à l'autorité de recours d'appliquer elle-même la loi civile. En effet, lorsque le juge de première instance applique l'art. 372 CPP et se borne à donner acte de ses réserves au lésé, il applique non seulement une règle de procédure pénale, mais aussi des règles de droit de fond, puisqu'il apprécie que la prétention est insuffisamment fondée. Dans ce cas, les conditions de recevabilité du recours en réforme sont réalisées (Bovay et alii, op. cit., n. 3 ad art. 418 CPP, par analogie). En l'espèce, dans la mesure où A.U.________ met en cause le fait que certains frais occasionnés par cette affaire ne lui ont pas été remboursés, le recours est recevable.</w:t>
      </w:r>
    </w:p>
    <w:p>
      <w:r>
        <w:rPr>
          <w:b/>
        </w:rPr>
        <w:t>E. 2</w:t>
      </w:r>
    </w:p>
    <w:p>
      <w:r>
        <w:t>La recourante réclame l'allocation d'un montant total de 1012 fr., tant à titre de tort moral que de dommages et intérêts. a) A.U.________ demande tout d'abord le remboursement de la franchise, par 200 fr., dont elle a dû s'acquitter auprès de son assurance-vol. Il y a lieu à cet égard de se référer à la pièce produite aux débats par la recourante (P. 603), document dont le premier juge ne semble pas avoir tenu compte. Il en résulte clairement qu'un montant de 200 fr. a été retenu par l'assureur au moment de l'indemnisation des objets volés, à titre de franchise contractuelle. Le dommage de la recourante est dès lors clairement établi sur ce point et le montant réclamé doit lui être alloué. b) La recourante sollicite également le remboursement de l'abonnement TL de sa fille ainsi que celui des 35 fr. que contenait son porte-monnaie. Il ressort cependant du décompte de l'assureur que ces deux postes ont déjà fait l'objet d'une indemnisation dans le cadre de la liquidation du cas. Les montants ne sauraient être alloués une deuxième fois et il n'y a pas lieu d'y revenir. c) A.U.________ réclame aussi l'allocation d'un montant de 400 fr. à titre de réparation du tort moral subi par sa fille, dont elle affirme qu'elle est encore actuellement perturbée par les événements qu'elle a vécus. L'art.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 5.1 p. 704/705; 129 IV 22 c. 7.2 p. 36).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(ATF 129 IV 22 c. 7.2 p. 36/37 et les arrêts cités; TF 6B_135/2008 du 24 avril 2008). En l'occurrence, le jugement contient peu d'éléments quant au préjudice subi par B.U.________. Dans son recours, A.U.________ expose que sa fille est encore perturbée. Elle ne donne cependant pas d'autres précisions et ne produit en particulier aucune pièce pour attester ses dires comme, par exemple, un certificat médical. Cela n'est toutefois pas décisif. En effet, lors des faits, B.U.________ était âgée d'à peine plus de dix ans. Lorsque plusieurs adolescents d'une quinzaine d'années s'en prennent à une enfant de cet âge pour la menacer de sortir un couteau si elle ne leur donne pas son téléphone portable et miment même le geste, ils sont sans nul doute les auteurs d'une atteinte grave dont il est d'expérience qu'elle de nature à perturber sérieusement une enfant. Il se justifie, dans ces conditions, d'allouer à B.U.________ un montant de 300 fr. à titre de réparation morale. d) Reste encore à déterminer si un montant doit être alloué pour la perte de temps subie par la mère, comme elle le réclame. Il ne s'agit pas là de dommages-intérêts, mais de dépens, soit des frais de vacation. Il ressort à cet égard de la première lettre-recours déposée le 5 août 2009 par A.U.________ qu'elle fait des ménages et qu'elle gagne difficilement sa vie. Sans disposer de davantage de renseignements, on peut considérer que l'allocation d'un montant de 150 fr. peut lui être alloué à titre de dépens.</w:t>
      </w:r>
    </w:p>
    <w:p>
      <w:r>
        <w:rPr>
          <w:b/>
        </w:rPr>
        <w:t>E. 3</w:t>
      </w:r>
    </w:p>
    <w:p>
      <w:r>
        <w:t>En définitive, le recours de A.U.________ doit être admis partiellement et le jugement réformé en ce sens que la somme de 200 fr. à titre de franchise d'assurance et de 300 fr. à titre de tort moral ainsi que celle de 150 fr. à titre de dépens lui sont allouées, acte de ses réserves civiles étant pour le surplus donné à la prénommée. Vu l'issue du recours, les frais de deuxième instance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