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393 vom 19. August 2009</w:t>
      </w:r>
    </w:p>
    <w:p>
      <w:r>
        <w:t>VD Tribunal cantonal, 2009-08-19, FR</w:t>
      </w:r>
    </w:p>
    <w:p>
      <w:r>
        <w:rPr>
          <w:b/>
        </w:rPr>
        <w:t xml:space="preserve">Quelle: </w:t>
      </w:r>
      <w:r>
        <w:t>https://mcp.opencaselaw.ch/entscheid/vd_findinfo_HC___2009___393</w:t>
      </w:r>
    </w:p>
    <w:p>
      <w:r>
        <w:t>FR: VD_FINDINFO HC / 2009 / 393 du 19 août 2009</w:t>
      </w:r>
    </w:p>
    <w:p>
      <w:r>
        <w:t>IT: VD_FINDINFO HC / 2009 / 393 del 19 agosto 2009</w:t>
      </w:r>
    </w:p>
    <w:p>
      <w:pPr>
        <w:pStyle w:val="Heading2"/>
      </w:pPr>
      <w:r>
        <w:t>Regeste</w:t>
      </w:r>
    </w:p>
    <w:p>
      <w:r>
        <w:t>DÉPENS, AVANCE DE FRAIS | 91 CPC, 92 CPC, 94 CPC</w:t>
      </w:r>
    </w:p>
    <w:p>
      <w:pPr>
        <w:pStyle w:val="Heading2"/>
      </w:pPr>
      <w:r>
        <w:t>Erwägungen</w:t>
      </w:r>
    </w:p>
    <w:p>
      <w:r>
        <w:rPr>
          <w:b/>
        </w:rPr>
        <w:t>E. 1</w:t>
      </w:r>
    </w:p>
    <w:p>
      <w:r>
        <w:t>La décision attaquée est un prononcé sur frais et dépens après transaction. a) L'art. 94 al. 1 CPC (Code de procédure civile vaudoise du 14 décembre 1966; RSV 270.11) ouvre la voie du recours au Tribunal cantonal contre la décision relative à l'adjudication des dépens, alors même que la décision au fond n'est pas attaquée. Selon la jurisprudence, ce recours n'est toutefois ouvert que si la décision au fond constitue elle-même un jugement principal susceptible d'un recours autre qu'en nullité (JT 2001 III 2 c. 1; JT 1997 III 77 c. 3a; JT 1997 III 117 c. 1a; Poudret/Haldy/Tappy, Procédure civile vaudoise,</w:t>
      </w:r>
    </w:p>
    <w:p>
      <w:r>
        <w:rPr>
          <w:b/>
        </w:rPr>
        <w:t>E. 3</w:t>
      </w:r>
    </w:p>
    <w:p>
      <w:r>
        <w:t>a) En réforme, le recourant soutient tout d'abord que des frais d'avis de droit n'auraient pas dû être inclus dans les dépens. Il fait valoir qu'on ne connaît pas leur montant, qu'ils ne peuvent pas être assimilés à des frais de mandataire au sens de l'art. 91 let. c CPC et qu'ils n'avaient pas à être engagés, dès lors qu'il appartient au juge d'établir le contenu du droit étranger. S'agissant de ce dernier argument, une démarche du juge aurait impliqué qu'une avance de frais soit réclamée aux parties (art. 90 al. 1 CPC), de sorte qu'en pareil cas des frais auraient également été engagés. S'il est vrai que le premier juge ne s'est pas basé sur le montant réel du coût des avis de droit produits, ne le connaissant pas, il a pu l'évaluer au même titre que celui de l'intervention des avocats des parties. Le recourant conteste au surplus à tort que les frais liés aux avis de droit produits soient assimilés à des frais de mandataire, autrement dit à des débours (Poudret/Haldy/Tappy, op. cit., n. 5 ad art. 91 CPC). Il est vrai que le départ est délicat entre l'établissement du droit étranger et l'appui à la thèse de la partie, celui-ci ne devant pas être couvert par des dépens (ibidem). Mais, en l'espèce, vu les aspects internationaux du litige (professio juris en faveur du droit anglais, domicile en Suisse, contrat de mariage soumis au droit français), ce n'est pas seulement le contenu du droit étranger mais aussi l'éventualité de son application à la succession en cause eu égard à ce même droit qui devaient nécessairement être déterminés pour trancher la question de savoir si un testament et son codicille avaient été révoqués par un mariage. On ne saurait dès lors dissocier dans les avis produits ce qui relève de la seule énonciation du droit positif de ce qui a trait à son application au cas d'espèce. b) Le recourant fait encore valoir qu'une "compensation, le cas échéant partielle des dépens" aurait dû avoir lieu, ayant été contraint de participer à l'audience du 30 avril 2009 alors que celle-ci n'aurait pas été nécessaire si ses parties adverses avaient retiré leurs conclusions dès après l'arrêt du Tribunal fédéral confirmant le jugement préjudiciel leur donnant raison. C'est cependant oublier qu'à cette audience, les parties ont passé une transaction dont l'objet était par nature plus large que celui du jugement préjudiciel, de sorte que la convocation des parties n'a pas été inutile. On relève que la convocation à cette audience est d'ailleurs fondée en partie sur la requête incidente de réforme déposée le 27 avril 2009 par le recourant. c) Le recourant se plaint de la manière dont les frais de justice ont été répartis entre les intimées. Un tel grief est irrecevable. En effet, de manière générale, une personne n'est admise à agir ou à recourir que si elle a un intérêt juridiquement protégé à le faire (ATF 126 III 198 c. 2b, p. 201). Le recourant doit en règle générale justifier d'un intérêt actuel, c'est-à-dire qui existe déjà et subsiste au moment du dépôt du recours (JT 2001 III 13 c. 1c et 1d p. 15). La recevabilité d'un moyen de droit suppose que le jugement soit de nature à procurer au recourant l'avantage qu'il recherche. Le juge n'a pas à statuer sur un recours qui, s'il devait être admis, ne modifierait pas la situation juridique dans le sens des conceptions du plaideur (ATF 116 II 721 c. 6, p. 729; ATF 114 II 189 c. 2, p. 190). Or, une répartition différente des frais de justice ne procurerait au recourant aucun avantage. Il aurait en revanche un intérêt à recourir en ce qui concerne les frais de justice payés à l'Etat par ses parties adverses, puisqu'il doit leur rembourser ces frais. On examinera dès lors ces frais ci-après. Les frais de justice de A.Z.________ d'un montant de 19'136 francs 50 comprennent 7'500 fr. pour une demande (art. 169 TFJC [tarif des frais judiciaires en matière civile du 4 décembre 1984, RSV 270.11.5]), 225 fr. pour un jugement incident (art. 155/170a TFJC), 7'500 fr. pour une audience préliminaire (art. 172 TFJC), 94 fr. pour une audition de témoins (art. 171 TFJC), 67 fr. 50 d'indemnités aux témoins (art. 261 TFJC) et 3'750 fr. pour un jugement sans audience (art. 175 TFJC). Quant aux frais de justice de B.Z.________, ils se montent à 19'068 fr. 50 et comprennent un émolument de 7'500 fr. pour une demande (art. 169 TFJC), 225 fr. pour un jugement incident (art. 155/170a TFJC), 7'500 fr. pour une audience préliminaire (art. 172 TFJC), 93 fr. pour une audition de témoins (art. 171 TFJC) et 3'750 fr. pour un jugement sans audience (art. 175 TFJC). En outre, les frais de justice de C.Z.________ (qui a déposé une demande solidaire avec D.Z.________) s'élèvent à 34'068 fr., soit 225 fr. pour une requête incidente (art. 159/170a TFJC), 15'000 fr. pour une demande (art. 169 TFJC), 15'000 francs pour une audience préliminaire (art. 172 TFJC), 93 fr. pour une audition de témoins (art. 171 TFJC) et 3'750 fr. pour un jugement sans audience (art. 175 TFJC) et ceux de D.Z.________ se montent à 3'750 fr. pour un jugement sans audience (art. 175 TFJC). Ces montants ont été calculés conformément au TFJC et correspondent à ce que les parties, qui ont obtenu des dépens, ont versé comme frais de justice. Ils peuvent donc être confirmés. d) Le recourant tire argument de ce que la valeur litigieuse n'a pas été chiffrée par le premier juge, qu'on peut seulement supputer sur la base de lettres de celui-ci des 11 et 23 août 2005 qu'il l'aurait évaluée à quelque cinq millions de francs et qu'elle aurait été en réalité beaucoup plus basse, s'élevant selon lui à quelques centaines de milliers de francs, se référant à ce sujet aux motifs du conseil de C.Z.________ et D.Z.________, selon lequel la valeur litigieuse s'élevait pour elles à environ 260'000 francs. Selon un inventaire établi le 30 mars 2006, les biens du défunt au 29 mars 2004 étaient évalués à 6'935'659 fr. (jugement préjudiciel, p. 11). L'action de C.Z.________ et D.Z.________ tendait notamment à ce qu'il soit constaté que chacune d'elles avait droit à un cinquième de la succession (demande du 22 mars 2005, conclusion III), tout comme celle de B.Z.________ (demande du 24 mars 2005, conclusion III), tandis que celle de A.Z.________ tendait au constat qu'elle avait droit à un quart (demande du 28 avril 2005, conclusion II). Comme relevé par le premier juge dans une lettre aux parties du 23 août 2005, dès lors que les demanderesses avaient également pris des conclusions portant sur la validité du contrat de mariage, c'est l'entier des actifs de la succession qui était l'objet du litige. On doit ainsi tabler pour chacune des demanderesses sur une valeur litigieuse dépassant le million de francs. Il s'avère ainsi qu'en allouant au titre d'honoraires d'avocat dus à titre de dépens des montants de 30'000 fr. pour l'intimée A.Z.________, 30'000 fr. pour l'intimée B.Z.________, 60'000 fr. pour l'intimée C.Z.________ et 3'000 fr. pour l'intimée D.Z.________, qui a constitué mandataire séparé tardivement et dont le conseil a renoncé à déposer un mémoire de droit, le premier juge n'a outrepassé aucun des montants fixés par le TAv (Tarif des honoraires d'avocat dus à titre de dépens; RSV 177.11.3). Ces honoraires ne dépassent pas le 20% de la valeur litigieuse (art. 5 TAv). On note que le juge instructeur a à bon droit inclus les avis de droit dans les honoraires et non pas dans les débours, comme l'admet la jurisprudence (JT 1963 III 95 cité par Poudret/Haldy/Tappy, op. cit., n. ad art. 91 ch. 5, p. 172), et l'estimation de ces avis de droit, payés par le conseil de l'intimée C.Z.________ (30'000 fr.), est conforme, vu la nature de ces avis (voir c. 3a ci-dessus). En conclusion, la quotité des honoraires proprement dits, soit les prestations de l'avocat, évaluées à 30'000 fr. par avocat (3'000 fr. pour le conseil de D.Z.________), est dès lors adéquate au regard des difficultés de la cause et de la complexité des questions de fait et de droit débattues (art. 3 al. 1 TAv) et peut être confirmée. Il faut relever que la valeur litigieuse n'est, selon l'art. 3 al. 1 TAv, que l'un des critères de fixation des honoraires, les difficultés de la cause et la complexité des questions de fait et de droit débattues étant mises au premier plan. C'est ainsi à juste titre que le premier juge a procédé à une évaluation des honoraires eu égard à la complexité particulière de la question de la portée du droit étranger.</w:t>
      </w:r>
    </w:p>
    <w:p>
      <w:r>
        <w:rPr>
          <w:b/>
        </w:rPr>
        <w:t>E. 4</w:t>
      </w:r>
    </w:p>
    <w:p>
      <w:r>
        <w:t>En définitive, le recours doit être rejeté, en application de l'art. 465 al. 1 CPC, et le prononcé confirmé. Les frais de deuxième instance du recourant sont arrêtés à 2'356 francs. Par ces motifs, la Chambre des recours du Tribunal cantonal, statuant à huis clos, en application de l'art. 465 al. 1 CPC, prononce : I. Le recours est rejeté. II. Le prononcé est confirmé. III. Les frais de deuxième instance du recourant N.________ sont arrêtés à 2'356 fr. (deux mille trois cent cinquante-six francs). IV. L'arrêt motivé est exécutoire. Le président : La greffière : Du 19 août 2009 Le dispositif de l'arrêt qui précède est communiqué par écrit aux intéressés. La greffière : Du L'arrêt qui précède, dont la rédaction a été approuvée à huis clos, est notifié en expédition complète, par l'envoi de photocopies, à : - Me Marc-Olivier Buffat (pour N.________), -      Me Félix Paschoud (pour A.Z.________), -      Me Pierre-Olivier Wellauer (pour B.Z.________), - M e Christophe Piguet (pour C.Z.________), ‑      M e Pierre-Dominique Schupp (pour D.Z.________). La Chambre des recours considère que la valeur litigieuse est de 6'935'659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