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382 vom 11. September 2009</w:t>
      </w:r>
    </w:p>
    <w:p>
      <w:r>
        <w:t>VD Tribunal cantonal, 2009-09-11, FR</w:t>
      </w:r>
    </w:p>
    <w:p>
      <w:r>
        <w:rPr>
          <w:b/>
        </w:rPr>
        <w:t xml:space="preserve">Quelle: </w:t>
      </w:r>
      <w:r>
        <w:t>https://mcp.opencaselaw.ch/entscheid/vd_findinfo_HC___2009___382</w:t>
      </w:r>
    </w:p>
    <w:p>
      <w:r>
        <w:t>FR: VD_FINDINFO HC / 2009 / 382 du 11 septembre 2009</w:t>
      </w:r>
    </w:p>
    <w:p>
      <w:r>
        <w:t>IT: VD_FINDINFO HC / 2009 / 382 del 11 settembre 2009</w:t>
      </w:r>
    </w:p>
    <w:p>
      <w:pPr>
        <w:pStyle w:val="Heading2"/>
      </w:pPr>
      <w:r>
        <w:t>Regeste</w:t>
      </w:r>
    </w:p>
    <w:p>
      <w:r>
        <w:t>MODÉRATION | 45 LPAv, 50 LPAv, 51 LPAv, 98 LPA-VD</w:t>
      </w:r>
    </w:p>
    <w:p>
      <w:pPr>
        <w:pStyle w:val="Heading2"/>
      </w:pPr>
      <w:r>
        <w:t>Erwägungen</w:t>
      </w:r>
    </w:p>
    <w:p>
      <w:r>
        <w:rPr>
          <w:b/>
        </w:rPr>
        <w:t>E. 8</w:t>
      </w:r>
    </w:p>
    <w:p>
      <w:r>
        <w:t>En conclusion, le recours doit être rejeté et le prononcé confirmé. Les frais de deuxième instance du recourant sont arrêtés à 150 francs. Par ces motifs, la Chambre des recours du Tribunal cantonal, statuant à huis clos, prononce : I. Le recours est rejeté. II. Le prononcé est confirmé. III. Les frais de deuxième instance du recourant J.________ sont arrêtés  à 150 fr. (cent cinquante francs). IV. L'arrêt motivé est exécutoire. Le président : La greffière : Du L'arrêt qui précède, dont la rédaction a été approuvée à huis clos, est notifié à : ‑      M . J.________, ‑      Me Z.________. Il prend date de ce jour. La Chambre des recours considère que la valeur litigieuse est de 2'916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