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37 vom 25. Februar 2009</w:t>
      </w:r>
    </w:p>
    <w:p>
      <w:r>
        <w:t>VD Tribunal cantonal, 2009-02-25, FR</w:t>
      </w:r>
    </w:p>
    <w:p>
      <w:r>
        <w:rPr>
          <w:b/>
        </w:rPr>
        <w:t xml:space="preserve">Quelle: </w:t>
      </w:r>
      <w:r>
        <w:t>https://mcp.opencaselaw.ch/entscheid/vd_findinfo_HC___2009___37</w:t>
      </w:r>
    </w:p>
    <w:p>
      <w:r>
        <w:t>FR: VD_FINDINFO HC / 2009 / 37 du 25 février 2009</w:t>
      </w:r>
    </w:p>
    <w:p>
      <w:r>
        <w:t>IT: VD_FINDINFO HC / 2009 / 37 del 25 febbraio 2009</w:t>
      </w:r>
    </w:p>
    <w:p>
      <w:pPr>
        <w:pStyle w:val="Heading2"/>
      </w:pPr>
      <w:r>
        <w:t>Regeste</w:t>
      </w:r>
    </w:p>
    <w:p>
      <w:r>
        <w:t>USURE{DROIT PÉNAL} | 157 CP</w:t>
      </w:r>
    </w:p>
    <w:p>
      <w:pPr>
        <w:pStyle w:val="Heading2"/>
      </w:pPr>
      <w:r>
        <w:t>Erwägungen</w:t>
      </w:r>
    </w:p>
    <w:p>
      <w:r>
        <w:rPr>
          <w:b/>
        </w:rPr>
        <w:t>E. 1</w:t>
      </w:r>
    </w:p>
    <w:p>
      <w:r>
        <w:t>Le recours est principalement en réforme et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 moyen de nullité. En effet, celui-ci est de nature à faire apparaître des insuffisances, des lacunes ou des contradictions dans l'état de fait du jugement, sur des points de nature à influer sur la décision attaquée (art. 411 let. h CPP), éventualité qui n'est en principe plus examinée dans le cadre du recours en réforme.</w:t>
      </w:r>
    </w:p>
    <w:p>
      <w:r>
        <w:rPr>
          <w:b/>
        </w:rPr>
        <w:t>E. 2</w:t>
      </w:r>
    </w:p>
    <w:p>
      <w:r>
        <w:t>Le Ministère public se prévaut de l'art. 411 let. h CPP.</w:t>
      </w:r>
    </w:p>
    <w:p>
      <w:r>
        <w:rPr>
          <w:b/>
        </w:rPr>
        <w:t>E. 2.1</w:t>
      </w:r>
    </w:p>
    <w:p>
      <w:r>
        <w:t>a)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l'administration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2.2a) Sous l'angle de la nullité, le Ministère public fait valoir que le jugement entrepris est incomplet quant à deux éléments économiques selon lui déterminants pour savoir s'il y a eu disproportion évidente entre prestation et contre-prestation au sens de l'art. 157 CP, à savoir la quotité des intérêts hypothécaires relative aux seules chambres de passe, d'une part, et les coûts de blanchisserie et d'entretien de chacune de ces chambres, d'autre part. Ce moyen procède de la prémisse selon laquelle la disproportion évidente éventuelle entre prestations doit, s'agissant d'un contrat de bail, être déterminée en tenant compte des frais effectifs du propriétaire de la chose louée; ainsi, à loyer égal, l'usure dépendrait du montant desdits frais. A suivre ce raisonnement, le bailleur d'un immeuble franc de charge hypothécaire ou dont les coûts d'entretien sont assumés par le propriétaire lui-même pourrait, toujours à loyer égal, se rendre coupable d'usure alors même que le bailleur qui ne percevrait qu'un loyer peu ou prou limité aux charges échapperait à toute répression indépendamment du montant desdites charges. En d'autres termes, une bonne gestion de l'immeuble serait sanctionnée pénalement. Or, il n'appartient pas au juge pénal de statuer au vu de la qualité de la gestion par le bailleur de ses propres affaires, ce qui impliquerait l'examen du compte d'exploitation de l'immeuble. Bien plutôt, pour décider s'il y a usure dans un cas donné, il convient de comparer le revenu tiré de la location des chambres avec le prix de baux similaires selon le marché dans le même rayon géographique (cf. c. 3.3 ci-dessous). Cette question relève toutefois de l'appréciation des faits, donc de la réforme. Sous l'angle du moyen de nullité soulevé à titre subsidiaire, il suffit de relever que l'état de fait du jugement est complet et qu'il ne présente pas d'incohérences. Il permet donc de statuer sur le fond, à savoir sur le moyen de réforme. Le moyen de nullité doit ainsi être rejeté, respectivement écarté, ce qui implique le rejet du recours en nullité.</w:t>
      </w:r>
    </w:p>
    <w:p>
      <w:r>
        <w:rPr>
          <w:b/>
        </w:rPr>
        <w:t>E. 3</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hormis dans la mesure décrite au considérant 3.4 ci-dessous.</w:t>
      </w:r>
    </w:p>
    <w:p>
      <w:r>
        <w:rPr>
          <w:b/>
        </w:rPr>
        <w:t>E. 3.1</w:t>
      </w:r>
    </w:p>
    <w:p>
      <w:r>
        <w:t>Le Ministère public fait valoir que c'est à tort que les premiers juges ont libéré l'accusé du chef d'accusation d'usure; il estime que l'avantage patrimonial obtenu par l'intéressé est en disproportion évidente avec la valeur effective de la prestation fournie, en d'autres termes que le revenu tiré de la location des chambres aux prostituées est sans commune mesure avec les coûts supportés par le bailleur.</w:t>
      </w:r>
    </w:p>
    <w:p>
      <w:r>
        <w:rPr>
          <w:b/>
        </w:rPr>
        <w:t>E. 3.2</w:t>
      </w:r>
    </w:p>
    <w:p>
      <w:r>
        <w:t>A teneur de l'art. 157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(ch. 1). Si l'auteur fait métier de l'usure, la peine sera une peine privative de liberté de un à dix ans (ch. 2).</w:t>
      </w:r>
    </w:p>
    <w:p>
      <w:r>
        <w:rPr>
          <w:b/>
        </w:rPr>
        <w:t>E. 3.3</w:t>
      </w:r>
    </w:p>
    <w:p>
      <w:r>
        <w:t>Quant aux conditions d'application de la norme précitée, ici topique, le Tribunal fédéral a, dans un arrêt du 14 novembre 2007 (6B_395/2007), considéré ce qui suit (c. 4.1) : "Sur le plan objectif, l'usure, au sens de l'art. 157 ch. 1 al. 1 CP, suppose d'abord que la victime se soit trouvée dans l'une des situations de faiblesse énumérées exhaustivement par cette disposition, à savoir la gêne, la dépendance, l'inexpérience ou la faiblesse de la capacité de jugement. Il faut ensuite que l'auteur ait exploité cette situation de faiblesse en vue de se faire accorder ou promettre, pour lui-même ou pour un tiers, un avantage pécuniaire.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(cf. ATF 130 IV 106 consid. 7.2 p. 108/109). La gêne ne doit pas nécessairement être de nature économique; il suffit que la victime se soit trouvée dans une situation contraignante telle qu'elle réduit sa liberté de décision, au point qu'elle est prête à fournir une prestation (ATF 92 IV 132 consid. 2 p. 137). L'exploitation de la situation de faiblesse dans laquelle se trouve la victime consiste dans l'utilisation consciente de cette situation, en vue de l'obtention d'un avantage pécuniaire (ATF 92 IV 106 consid. 3 p. 109). L'usure implique un contrat onéreux; l'avantage fourni ou promis doit l'avoir été en échange d'une prestation (ATF 130 IV 106 consid. 7.2 p. 109; 111 IV 139 consid. 3c p. 142). Pour déterminer si l'avantage pécuniaire obtenu est en disproportion évidente avec la prestation fournie ou promise, il y a lieu de procéder à une évaluation objective (ATF 130 IV 106 consid. 7.2 p. 109), en recherchant la valeur patrimoniale effective de la prestation, calculée en tenant compte de toutes les circonstances (ATF 93 IV 85 consid. 2 p. 88)". Un arrêt plus récent, du 15 août 2008 (6B_387/2008), précise que "le rapport entre la prestation et la contre-prestation se mesure dans le cas normal selon le prix ou la rémunération usuels pour des choses ou des services de même espèce (ATF 93 IV 85 consid. 2 p. 87). Dans le cas de logements donnés à bail, par conséquent, la valeur objective consiste dans les loyers qu'il est d'usage de payer pour des objets analogues au lieu considéré (ATF 92 IV 132 consid. 1 p. 134)". Il s'agit ainsi de déterminer si la disproportion entre les loyers payés et ceux qui se justifiaient objectivement peut être qualifiée d'évidente. Cassani (Liberté contractuelle et protection pénale de la partie faible : l'usure, une infraction en quête de sens, in Le contrat dans tous ses états, Berne 2004, pp. 135 ss, spéc. pp. 144-145) relève que l'on considère en règle générale qu'un écart de 25 % par rapport au prix usuel constitue une disproportion évidente, mais estime que la sanction pénale devrait être réservée aux disproportions plus importantes, de l'ordre de la majoration de 50 % préconisée en droit allemand. 3.4a) Dans le cas particulier, il est constant, d'une part, que toutes les prostituées ne sont pas en position de faiblesse, puisqu'une partie d'entre elles est en situation régulière en Suisse. Ces dernières, à tout le moins, exerçaient leur activité librement et ne dépendaient donc en aucune façon de l'accusé. Elles ont ainsi choisi d'utiliser les chambres mises à leur disposition par celui-ci. Il s'agit d'un rapport d'échange dans lequel les positions réciproques des parties ne paraissent pas manifestement inégales. Au sens de l'art. 157 ch. 1 CP, ce qui précède exclut l'exploitation de la gêne de ses cocontractantes par l'accusé. Partant, la première des conditions cumulatives de l'usure n'est alors pas réalisée. D'autre part, le prix de la chambre pouvait être supporté par le client personnellement, même si cette pratique n'était pas systématique durant la période ici en cause. Le seul fait que la remise de la chambre soit, entièrement ou dans une large mesure, rémunérée par le client exclut tout rapport entre l'accusé et chacune des prostituées concernées en relation avec la mise à disposition du local, respectivement tout loyer significatif à la charge de celles-ci. Par identité de motifs, l'usure est alors exclue dans cette même mesure. Ce qui précède ne s'applique toutefois qu'aux prostituées en situation régulière dont les clients payent la chambre, s'agissant du moins d'une bonne partie du loyer. A contrario, la situation des prostituées en situation irrégulière qui payent la chambre elles-mêmes est différente. Pour ces dernières, il doit être retenu, avec les premiers juges, que leur situation au regard du droit des étrangers entrave la défense de leurs intérêts à l'égard de leur cocontractant. Il peut en être déduit qu'elles ne sont guère en situation de discuter le loyer de la chambre de passe. La condition de l'exploitation de la gêne peut dès lors être tenue pour donnée. b) Pour ce qui est de la proportion entre prestations, le tribunal correctionnel a retenu, de manière à lier la cour de céans, que le prix de la chambre était de 30, 40, 50 ou 100 fr. par passe suivant les périodes et en fonction de la prostituée considérée. Il est également constant que chacune des chambres comporte diverses commodités, à savoir notamment des linges et un sèche-cheveux. Pour déterminer s'il existait une disproportion évidente entre prestations, les premiers juges se sont fondés sur les prix du marché des chambres d'hôtel (par nuit) dans la région de La Côte. Ils ont retenu que le prix d'une telle chambre est de l'ordre d'une centaine de francs la nuit, avec, il est vrai, de fortes variations. Ainsi, le loyer d'une chambre luxueuse peut atteindre 200 fr. la nuit (cf., quant à l'estimation de la valeur d'une chambre d'hôtel en matière civile, ATF 120 II 237). A cet égard, il doit être relevé, avec les premiers juges, que l'équipement des chambres ici en cause (linges et foehn) correspondait à celui d'une chambre d'hôtel. Peu importe au surplus que les premiers juges se fussent fondés sur les prix de l'hôtellerie de la région de La Côte, désignée dans son ensemble sans plus de précision. En effet, la commune de […], sise sur le territoire du district de Morges (art. 8 al. 1 LDecTer), fait partie de la région en question et il est notoire que les conditions économiques dans la branche ne diffèrent guère d'un bout à l'autre de l'Arc lémanique. Ceci posé, une participation de 30 ou 40 fr. par client et par passe ne constitue pas une disproportion évidente au regard de la valeur de la chambre fournie. Il en va de même du prix de la chambre, par 50 fr., versé par client en 2008. Cela étant, les chambres ont aussi été mises à disposition des prostituées par l'accusé à un tarif qui a atteint 100 fr. en août 2007. Ce loyer équivaut, comme déjà relevé, à celui d'une chambre d'hôtel moyenne, mais pour une demi-heure seulement environ, même si la durée des passes n'était pas contrôlée. Le fait déterminant à cet égard est que ce montant n'était pas entièrement supporté par la prostituée, mais également - dans une mesure variable - par le client de celle-ci. Or, nul ne reproche à l'accusé un comportement usuraire à l'égard des clients. L'état de fait du jugement doit être complété d'office par le rapport de dénonciation en ce sens que le prix de la passe était de l'ordre de 200 fr. Ce montant laisse, quelle que soit la part du loyer restant à la charge de la prostituée lorsque le prix de la chambre atteint même 100 fr. par passe, un solde suffisant pour exclure toute disproportion évidente entre prestations au sens de l'art. 157 ch. 1 CP. Au surplus, comme le relève expressément le jugement, aucun hôtel n'accepterait de louer une chambre pour une demi-heure à un tarif réduit, l'usage commercial fermement établi étant celui de la location par nuit entière indépendamment de la durée effective de l'usage de la chose louée. Partant, on ne peut établir de comparaison pro rata temporis entre les prestations de location d'une chambre d'hôtel et celles d'une chambre de passe. L'argument du Ministère public selon lequel doit être retenu un tarif horaire de quelque 5 fr. seulement, ce qui induit une disproportion évidente avec la contre-prestation même lorsque un prix de 50 fr. par demi-heure est exigé de la prostituée, tombe donc à faux à défaut de réduction proportionnelle. Une telle réduction est du reste d'autant moins justifiée que la location de la chambre implique des frais de blanchissage irréductibles indépendamment de sa durée. c) Le comportement incriminé ne tombe dès lors pas sous le coup de l'art. 157 CP. A défaut d'usure, il n'y a pas lieu à percevoir une créance compensatrice. Au surplus, l'infraction à la LSEE n'est pas en cause en deuxième instance.</w:t>
      </w:r>
    </w:p>
    <w:p>
      <w:r>
        <w:rPr>
          <w:b/>
        </w:rPr>
        <w:t>E. 3.5</w:t>
      </w:r>
    </w:p>
    <w:p>
      <w:r>
        <w:t>Il s'ensuit que le recours en réforme doit être rejeté à l'instar du recours en nullité.</w:t>
      </w:r>
    </w:p>
    <w:p>
      <w:r>
        <w:rPr>
          <w:b/>
        </w:rPr>
        <w:t>E. 4</w:t>
      </w:r>
    </w:p>
    <w:p>
      <w:r>
        <w:t>En conclusion, le recours doit être rejeté en application de l'art. 431 al. 2 CPP et le jugement confirmé. Les frais de deuxième instance seront laissés à la charge de l'Etat (art. 450 al. 1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