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365 vom 4. September 2009</w:t>
      </w:r>
    </w:p>
    <w:p>
      <w:r>
        <w:t>VD Tribunal cantonal, 2009-09-04, FR</w:t>
      </w:r>
    </w:p>
    <w:p>
      <w:r>
        <w:rPr>
          <w:b/>
        </w:rPr>
        <w:t xml:space="preserve">Quelle: </w:t>
      </w:r>
      <w:r>
        <w:t>https://mcp.opencaselaw.ch/entscheid/vd_findinfo_HC___2009___365</w:t>
      </w:r>
    </w:p>
    <w:p>
      <w:r>
        <w:t>FR: VD_FINDINFO HC / 2009 / 365 du 4 septembre 2009</w:t>
      </w:r>
    </w:p>
    <w:p>
      <w:r>
        <w:t>IT: VD_FINDINFO HC / 2009 / 365 del 4 settembre 2009</w:t>
      </w:r>
    </w:p>
    <w:p>
      <w:pPr>
        <w:pStyle w:val="Heading2"/>
      </w:pPr>
      <w:r>
        <w:t>Regeste</w:t>
      </w:r>
    </w:p>
    <w:p>
      <w:r>
        <w:t>MODÉRATION | 50 al. 1 LPAv, 51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doit plus être adressé à la Cour de modération qui a été supprimée (art. 67 et 73 al. 2 LOJV [loi du 12 décembre 1979 d'organisation judiciaire; RSV 173.01]), mais à la Chambre des recours, plus précisément à la deuxième Chambre des recours, en vertu de l'art. 20 al. 1 in fine ROTC ( Règlement organique du Tribunal cantonal du 13 novembre 2007; RSV 173.31.1) dans sa teneur dès le 1 er avril 2009. Le délai de recours est de trente jours dès la notification de la décision. La procédure est régie par la LPA-VD (loi du 28 octobre 2008 sur la procédure administrative; RSV 173.36; art. 117 LPA-VD). En l'espèce, le prononcé de modération a été notifié à la recourante le 12 juin 2009, qui a déposé son recours le 2 juillet 2009, soit dans les trente jours. Signé et motivé, le recours est par conséquent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LAPv a repris les principes dégagés par la jurisprudence rendue sous l'empire de l'ancien article 37 de la loi du 22 novembre 1944 sur le Barreau (ci après: LB;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 5 mars 2007 c. 4.1 et les arrêts cités). Les avocats n'ont pas l'obligation de tenir un décompte des heures consacrées à l'exécution de leur mandat (CREC II, 5 juillet 1996). L'art. 12 let. i LLCA (loi fédérale du 23 juin 2000 sur la libre circulation des avocats, RS 935.61) prévoit que l'avocat, lorsqu'il accepte un mandat, informe son client des modalités de facturation et le renseigne périodiquement ou à sa demande sur le montant des honoraires dus. Lors des débats parlementaires, il a en outre été expressément rappelé que le client pouvait obtenir une réduction des honoraires en cas de défaut d'information de l'avocat sur sa facturation (BO CE [Bulletin officiel du Conseil des Etats] 1999, p. 1172).</w:t>
      </w:r>
    </w:p>
    <w:p>
      <w:r>
        <w:rPr>
          <w:b/>
        </w:rPr>
        <w:t>E. 4</w:t>
      </w:r>
    </w:p>
    <w:p>
      <w:r>
        <w:t>Le premier juge a considéré que l'élaboration et la rédaction de la lettre comportant un avis de droit avaient nécessité 1 heure 30 de travail et non 3 heures 30, que si l'obligation imposée à l'art. 12 let. i LLCA avait été respectée avec diligence, l'incompréhension de la facturation ne se serait pas produite, et que l'entier des opérations effectuées correspondait à deux heures de travail, au tarif horaire admissible de 350 fr. de l'heure, soit à une contreprestation de 700 fr. (plus 53 fr. 20 de TVA). Le litige porte sur l'objet du mandat ainsi que sur la durée des prestations du mandataire. La recourante soutient que la conférence du 2 juillet 2008 n'a duré que 10 minutes alors que l'intimé a fait figurer dans sa liste, au regard de cette opération, une durée de 30 minutes. Si la recourante est très catégorique dans l'énonciation de ce temps, elle ne l'a toutefois exprimé que dans sa lettre de protestation du 2 avril 2009, soit apparemment en se fiant à des souvenirs vieux de 8 mois portant sur un fait secondaire comme la durée d'un entretien, soit relativement peu fiables. A l'inverse, le malentendu qui semble avoir entouré l'objet même du mandat : la recourante souhaitant se renseigner sur l'obtention d'un permis de séjour pour elle-même, l'intimé évoquant au stade du litige en modération une consultation concernant le concubin de son ex-cliente, va dans le sens d'un entretien hâtif ou précipité. L'intimé n'est pas affirmatif et semble avoir fixé ou vouloir justifier cette durée de 30 minutes se référant à sa pratique usuelle, mais sans se rapporter précisément aux limites temporelles de l'entretien en question. Le premier juge a repris l'indication de l'intimé. Compte tenu des éléments évoqués ci-dessus, on retiendra une durée intermédiaire de 20 minutes fixée à mi-chemin de celles énoncées par chacune des parties. La recourante conteste la prise en compte dans la fixation des honoraires du temps de travail d'avocat nécessité par la lettre / avis de droit du 7 juillet 2008. Elle se prévaut à cet égard du fait que l'intimé évoque des démarches concernant P.________ alors que celui-ci était déjà titulaire d'un permis de séjour. Il est toutefois manifeste que l'intimé se méprend lorsqu'il dit, au stade de la procédure de modération, que son mandat se rapportait à une autorisation de séjour pour P.________. En effet, la teneur de la lettre en question de l'intimé est claire. Elle est adressée à la recourante, se réfère à leur entretien et porte sur la situation personnelle de celle-ci et son objectif de bénéficier d'une autorisation de séjour. Si la recourante entendait résilier le mandat à l'issue de l'entretien du 2 juillet 2008 parce que les frais d'avocat annoncés lui paraissaient trop élevés par rapport à ses ressources, il lui incombait de le signifier séance tenante à l'intimé ou immédiatement après. Or, elle ne s'est aucunement manifestée en ce sens et elle n'a pas davantage réagi lorsqu'elle a reçu, une semaine plus tard, la lettre du 7 juillet 2008, confirmant ainsi implicitement que la transmission de cet avis de droit n'intervenait pas hors du mandat confié, mais bien en exécution de celui-ci. Les deux heures de travail d'avocat couvrant l'ensemble des prestations de l'intimé, telles que retenues par le premier juge, sont adéquates et doivent être confirmées. Une vingtaine de minutes d'entretien et une centaine de minutes consacrées à l'élaboration, la rédaction et la correction de la lettre du 7 juillet 2008 sont justifiées eu égard à l'expérience et à la spécialisation de l'intimé en droit des étrangers, d'une part, ainsi qu'aux difficultés spécifiques du cas, d'autre part, la technicité d'une question juridique ne se mesurant pas à la facilité et au succès rencontrés par une partie dans l'accomplissement de démarches administratives conduites ultérieurement sans être assistée. On relèvera, même si cela n'a pas d'incidence sur le sort de la cause compte tenu de la modération opérée en première instance, que l'intimé ne pouvait pas intégrer des heures de secrétariat au tarif horaire de 80 fr. dans ses opérations facturées et partant dans le montant des honoraires (soit 120 fr. pour 1 heure 30 de travail) dès lors que le tarif horaire de l'avocat de 350 fr., dans le cas particulier, incluait déjà ces frais généraux.</w:t>
      </w:r>
    </w:p>
    <w:p>
      <w:r>
        <w:rPr>
          <w:b/>
        </w:rPr>
        <w:t>E. 5</w:t>
      </w:r>
    </w:p>
    <w:p>
      <w:r>
        <w:t>En conséquence, le recours doit être rejeté et le prononcé confirmé. Les frais de deuxième instance de la recourante sont arrêtés à 150 francs (art. 249 TFJC). L'intimé ayant procédé sans être assisté, il n'y pas matière à octroi de dépens. Par ces motifs, la Chambre des recours du Tribunal cantonal, statuant à huis clos, prononce : I. Le recours est rejeté. II. Le prononcé est confirmé. III. Les frais de deuxième instance de la recourante sont arrêtés à 150 francs (cent cinquante francs). IV. L'arrêt motivé est exécutoire. Le président : La greffière : Du 4 septembre 2009 Le dispositif de l'arrêt qui précède est communiqué par écrit aux intéressés. La greffi ère : Du L'arrêt qui précède, dont la rédaction a été approuvée à huis clos, est notifié en expédition complète, par l'envoi de photocopies, à : ‑      M me V.________, ‑      M e J.________. La Chambre des recours considère que la valeur litigieuse est de 1'076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de la Chambre des avocats.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