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2009 / 360 vom 3. März 2009</w:t>
      </w:r>
    </w:p>
    <w:p>
      <w:r>
        <w:t>VD Tribunal cantonal, 2009-03-03, FR</w:t>
      </w:r>
    </w:p>
    <w:p>
      <w:r>
        <w:rPr>
          <w:b/>
        </w:rPr>
        <w:t xml:space="preserve">Quelle: </w:t>
      </w:r>
      <w:r>
        <w:t>https://mcp.opencaselaw.ch/entscheid/vd_findinfo_HC___2009___360</w:t>
      </w:r>
    </w:p>
    <w:p>
      <w:r>
        <w:t>FR: VD_FINDINFO HC / 2009 / 360 du 3 mars 2009</w:t>
      </w:r>
    </w:p>
    <w:p>
      <w:r>
        <w:t>IT: VD_FINDINFO HC / 2009 / 360 del 3 marzo 2009</w:t>
      </w:r>
    </w:p>
    <w:p>
      <w:pPr>
        <w:pStyle w:val="Heading2"/>
      </w:pPr>
      <w:r>
        <w:t>Regeste</w:t>
      </w:r>
    </w:p>
    <w:p>
      <w:r>
        <w:t>DÉLAI DE GARDE, DÉLAI DE RECOURS, DOMICILE EN SUISSE, DOMICILE À L'ÉTRANGER, DOMICILE ÉLU, DÉCISION D'IRRECEVABILITÉ, E-MAIL | 134 CPP, 267 al. 1 CPP, 424 al. 1 CPP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Le président du tribunal d'arrondissement est compétent pour statuer sur la recevabilité d'une opposition à une ordonnance de condamnation simple. Il statue alors dans les formes prévues à l'art. 312 CPP applicable par analogie et son jugement est assimilé, pour le recours, à un jugement principal rendu en contradictoire (art. 410 al. 3 CPP; JT 1996 III 169; Bovay, Dupuis, Moreillon et Piguet, Procédure pénale vaudoise, Code annoté,</w:t>
      </w:r>
    </w:p>
    <w:p>
      <w:r>
        <w:rPr>
          <w:b/>
        </w:rPr>
        <w:t>E. 3</w:t>
      </w:r>
    </w:p>
    <w:p>
      <w:r>
        <w:t>En définitive, le recours doit être rejeté et le prononcé attaqué confirmé. Les frais de seconde instance doivent être mis à la charge du recourant, conformément à l'art. 450 al. 1 CPP.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