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350 vom 8. Oktober 2009</w:t>
      </w:r>
    </w:p>
    <w:p>
      <w:r>
        <w:t>VD Tribunal cantonal, 2009-10-08, FR</w:t>
      </w:r>
    </w:p>
    <w:p>
      <w:r>
        <w:rPr>
          <w:b/>
        </w:rPr>
        <w:t xml:space="preserve">Quelle: </w:t>
      </w:r>
      <w:r>
        <w:t>https://mcp.opencaselaw.ch/entscheid/vd_findinfo_HC___2009___350</w:t>
      </w:r>
    </w:p>
    <w:p>
      <w:r>
        <w:t>FR: VD_FINDINFO HC / 2009 / 350 du 8 octobre 2009</w:t>
      </w:r>
    </w:p>
    <w:p>
      <w:r>
        <w:t>IT: VD_FINDINFO HC / 2009 / 350 del 8 ottobre 2009</w:t>
      </w:r>
    </w:p>
    <w:p>
      <w:pPr>
        <w:pStyle w:val="Heading2"/>
      </w:pPr>
      <w:r>
        <w:t>Regeste</w:t>
      </w:r>
    </w:p>
    <w:p>
      <w:r>
        <w:t>DÉCISION SUR FRAIS, EXÉCUTION FORCÉE | 489 CPC, 515 CPC, 518 CPC, 94 CPC, 90 TFJC, 91 TFJC</w:t>
      </w:r>
    </w:p>
    <w:p>
      <w:pPr>
        <w:pStyle w:val="Heading2"/>
      </w:pPr>
      <w:r>
        <w:t>Erwägungen</w:t>
      </w:r>
    </w:p>
    <w:p>
      <w:r>
        <w:rPr>
          <w:b/>
        </w:rPr>
        <w:t>E. 1</w:t>
      </w:r>
    </w:p>
    <w:p>
      <w:r>
        <w:t>Selon l'art. 518 CPC, lorsque l'exécution est terminée, le juge arrête les dépens à la charge de la partie contre laquelle l'exécution a été opérée. Cette décision peut faire l'objet d'un recours non contentieux en vertu de l'art. 489 CPC, recevable de manière générale en matière d'exécution forcée (Poudret/Haldy/Tappy, Procédure civile vaudoise, 3 ème éd., 2002, n. 1 ad art. 515 CPC, p. 794). En l'espèce, le recours, qui porte sur le principe des dépens sera examiné au regard de l'art 94 CPC, vu le renvoi de l'art. 488 let. f CPC.</w:t>
      </w:r>
    </w:p>
    <w:p>
      <w:r>
        <w:rPr>
          <w:b/>
        </w:rPr>
        <w:t>E. 2</w:t>
      </w:r>
    </w:p>
    <w:p>
      <w:r>
        <w:t>Les recourants contestent le principe de la mise des frais à leur charge. La compétence pour statuer sur le recours revient au Tribunal cantonal (art. 94 al. 1 CPC) et non à son seul président (art. 94 al. 2 CPC). L'art. 94 al. 1 CPC ouvre la voie du recours au Tribunal cantonal contre la décision relative à l'adjudication des dépens, pour autant que la décision sur le fond soit elle-même susceptible d'un recours autre qu'en nullité (Poudret/Haldy/Tappy, op. cit., n. 1 ad art. 94 CPC, p. 186). Cette condition est remplie dans le cas particulier, la décision mettant fin à l'exécution forcée étant susceptible d'être attaquée par la voie du recours non contentieux.</w:t>
      </w:r>
    </w:p>
    <w:p>
      <w:r>
        <w:rPr>
          <w:b/>
        </w:rPr>
        <w:t>E. 3</w:t>
      </w:r>
    </w:p>
    <w:p>
      <w:r>
        <w:t>Le prononcé attaqué est limité à la question des frais et dépens arrêtés par la juge de paix. Il s'ensuit que l'argumentation des recourants qui consiste à mettre en cause l'ordonnance d'exécution forcée du 6 janvier 2009 ainsi que d'autres points touchant à la relation entre les parties est irrecevable.</w:t>
      </w:r>
    </w:p>
    <w:p>
      <w:r>
        <w:rPr>
          <w:b/>
        </w:rPr>
        <w:t>E. 4</w:t>
      </w:r>
    </w:p>
    <w:p>
      <w:r>
        <w:t>En conclusion, le recours doit être rejeté, en application de l'art. 465 al. 1 CPC, et le prononcé confirmé. Les frais de deuxième instance des recourants, solidairement entre eux, sont arrêtés à 250 fr. (art. 236 et 230 TFJC). Par ces motifs, la Chambre des recours du Tribunal cantonal, statuant à huis clos, en application de l'art. 465 al. 1 CPC, prononce : I. Le recours est rejeté. II. Le prononcé est confirmé. III. Les frais de deuxième instance des recourants, solidairement entre eux, sont arrêtés à 250 fr. (deux cent cinquante francs). IV. L'arrêt motivé est exécutoire. Le président : La greffi ère : Du 8 octobre 2009 Le dispositif de l'arrêt qui précède est communiqué par écrit aux intéressés. La greffi ère : Du L'arrêt qui précède, dont la rédaction a été approuvée à huis clos, est notifié en expédition complète, par l'envoi de photocopies, à : ‑      Mme B.L.________, ‑      M . A.L.________, -      Me Olivier Burnet (pour B.H.________ et A.H.________). La Chambre des recours considère que la valeur litigieuse est de 2'256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me la Juge de paix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