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 vom 27. Januar 2009</w:t>
      </w:r>
    </w:p>
    <w:p>
      <w:r>
        <w:t>VD Tribunal cantonal, 2009-01-27, FR</w:t>
      </w:r>
    </w:p>
    <w:p>
      <w:r>
        <w:rPr>
          <w:b/>
        </w:rPr>
        <w:t xml:space="preserve">Quelle: </w:t>
      </w:r>
      <w:r>
        <w:t>https://mcp.opencaselaw.ch/entscheid/vd_findinfo_HC___2009___35</w:t>
      </w:r>
    </w:p>
    <w:p>
      <w:r>
        <w:t>FR: VD_FINDINFO HC / 2009 / 35 du 27 janvier 2009</w:t>
      </w:r>
    </w:p>
    <w:p>
      <w:r>
        <w:t>IT: VD_FINDINFO HC / 2009 / 35 del 27 gennaio 2009</w:t>
      </w:r>
    </w:p>
    <w:p>
      <w:pPr>
        <w:pStyle w:val="Heading2"/>
      </w:pPr>
      <w:r>
        <w:t>Regeste</w:t>
      </w:r>
    </w:p>
    <w:p>
      <w:r>
        <w:t>MOYEN DE DROIT CANTONAL | 411 let. i CPP</w:t>
      </w:r>
    </w:p>
    <w:p>
      <w:pPr>
        <w:pStyle w:val="Heading2"/>
      </w:pPr>
      <w:r>
        <w:t>Erwägungen</w:t>
      </w:r>
    </w:p>
    <w:p>
      <w:r>
        <w:rPr>
          <w:b/>
        </w:rPr>
        <w:t>E. 1</w:t>
      </w:r>
    </w:p>
    <w:p>
      <w:r>
        <w:t>Le recours est en nullité exclusivement. En pareil cas, la Cour de cassation n'examine que les moyens soulevés (art. 439 al. 1 CPP).</w:t>
      </w:r>
    </w:p>
    <w:p>
      <w:r>
        <w:rPr>
          <w:b/>
        </w:rPr>
        <w:t>E. 2</w:t>
      </w:r>
    </w:p>
    <w:p>
      <w:r>
        <w:t>a) Invoquant le moyen tiré de l'art. 411 let. i CPP, le recourant soutient qu'il existe des doutes sur des faits retenus par les premiers juges et importants pour le jugement.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Dupuis, Monnier, Moreillon, Piguet, Procédure pénale vaudoise, Bâle 2008,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Aperçu de jurisprudence sur les voies de recours à la Cour de cassation pénale du Tribunal cantonal vaudois, in JT 1989 III 98,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c)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Besse‑Matile/Abravanel, op. cit., p. 102). d) Dans un premier moyen, le recourant plaide le doute et la violation de l'art. 411 let. i CPP pour tenter d'inférer qu'il aurait dû être libéré du chef d'accusation de lésions corporelles simples qualifiées, au motif qu'il n'aurait pas commencé la bagarre. Il reproche également aux premiers juges de ne pas avoir cherché à trancher entre les deux versions contradictoires et de s'être fiés uniquement au témoignage de X.________. Tout d'abord, l'on rappellera qu'il n'est pas pertinent, dans le cadre d'un recours en nullité, de se baser sur des procès-verbaux d'audition enregistrés durant l'enquête, puisqu'on ignore ce qui a pu être déclaré aux débats par les personnes déjà entendues dans l'enquête ; les procès-verbaux d'audition ne constituent pas des pièces pouvant faire naître des doutes sérieux (Bovay et alii, op. cit., n. 10.4 ad art. 411 CPP et la jurisprudence citée). Pour ce qui est des faits survenus le 14 juin 2007, les premiers juges ont retenu que les deux protagonistes étaient les initiateurs quasi-simultanés de la bagarre. Pour ce faire, ils se sont basés sur les déclarations de l'unique témoin, soit X.________, présent lors de l'altercation. Ce dernier a déclaré que "tout d'un coup, je ne sais pas pourquoi, M.________ et B.________ ont attrapé pour l'un, un verre, et pour l'autre, un cendrier, sans pouvoir dire qui a pris quoi, se sont fracassés ces objets sur la tête alors qu'ils étaient encore assis, puis se sont levés et se sont frappés avec les mains". En l'absence d'autre élément et de témoin, le tenancier de la Brasserie n'ayant pas vu l'échange de coups, l'appréciation des premiers juges consistant à retenir la simultanéité des coups, ne saurait être considérée comme arbitraire. Par ailleurs, les objets utilisés sont parfaitement compatibles avec les blessures subies. L'on ne fera pas grief au tribunal de première instance de ne pas avoir entendu lors des débats le témoin X.________ qui ne s'est pas présenté. D'ailleurs, le recourant avait formellement renoncé à son audition. Et en l'absence de requête tendant au renvoi des débats, il ne lui sera pas reproché de s'être fondé sur les déclarations formulées par ce témoin. Pour le surplus, l'argumentation du recourant est appellatoire et ce dernier donne sa propre version des faits tout en expliquant pour quelles raisons celle-ci devrait être privilégiée par rapport à celle de son co-accusé. Mal fondé, ce moyen doit être rejeté.</w:t>
      </w:r>
    </w:p>
    <w:p>
      <w:r>
        <w:rPr>
          <w:b/>
        </w:rPr>
        <w:t>E. 3</w:t>
      </w:r>
    </w:p>
    <w:p>
      <w:r>
        <w:t>a) Le recourant reproche ensuite aux premiers juges d'avoir retenu qu'il était le propriétaire du couteau retrouvé sur les lieux et considère qu'il y a doute sur ce point qui devrait lui profiter. b) Les premiers juges ont considéré qu'il n'y avait aucun doute quant à la propriété de cet objet et cette appréciation n'est pas arbitraire. Afin de retenir que le briquet-couteau appartenait au recourant, les premiers juges se sont en effet basés sur le fait que l'enquête avait exclu que ce couteau appartienne à B.________ et sur les déclarations de deux témoins selon lesquels cet objet était la propriété du recourant qui l'utilisait comme briquet pour allumer des cigarettes et comme couteau pour couper les aliments qu'il consommait sur les chantiers. Dans ces circonstances, le fait que d'autres témoins, dont la famille du recourant, entendus lors des débats, n'auraient jamais vu ce dernier se servir de cet objet est sans pertinence. Pour le surplus, l'argumentation du recourant est appellatoire et sans pertinence. Mal fondé, ce moyen doit aussi être rejeté.</w:t>
      </w:r>
    </w:p>
    <w:p>
      <w:r>
        <w:rPr>
          <w:b/>
        </w:rPr>
        <w:t>E. 4</w:t>
      </w:r>
    </w:p>
    <w:p>
      <w:r>
        <w:t>a) Pour finir, le recourant soutient que les premiers juges auraient dû retenir l'infraction de lésions corporelles graves à l'encontre de B.________ en lieu et place des lésions corporelles simples qualifiées. Sur ce point, l'on rappellera que M.________ s'est constitué partie civile le 10 décembre 2008. b) Les lésions corporelles graves étant poursuivies d'office, ce moyen est irrecevable de la part de M.________ agissant uniquement en qualité de partie civile, ce dernier ne s'étant pas prévalu de sa qualité de victime. Par surabondance, le recourant a requis devant le Tribunal correctionnel de l'arrondissement de Lausanne et obtenu acte de ses réserves civiles. Lorsque la partie civile a demandé à ce qu'acte lui soit donné de ses réserves civiles en première instance, il faut considérer qu'elle a renoncé à faire valoir des prétentions civiles dans le procès pénal. Dans ces conditions, elle ne peut se prévaloir ni de l'art. 414 CPP, ni de l'art. 414a CPP et son recours est irrecevable en tant qu'il vise la nullité dans la perspective d'obtenir une aggravation de l'incrimination pénale retenue contre son coaccusé (cf. notamment Cass., M. du 28 mars 2008, n° 132).</w:t>
      </w:r>
    </w:p>
    <w:p>
      <w:r>
        <w:rPr>
          <w:b/>
        </w:rPr>
        <w:t>E. 5</w:t>
      </w:r>
    </w:p>
    <w:p>
      <w:r>
        <w:t>En définitive, le recours est rejeté et le jugement confirmé. Les frais de deuxième instance, y compris l'indemnité allouée à son défenseur d'office, par 581 fr. 05, sont mis à la charge du recourant. Le remboursement à l'Etat de l'indemnité précitée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